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4A5F" w14:textId="77777777" w:rsidR="00491A86" w:rsidRPr="00CC67B6" w:rsidRDefault="00491A86" w:rsidP="00491A8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491A86" w:rsidRPr="00CC67B6" w14:paraId="27DF881B" w14:textId="77777777" w:rsidTr="0099046B">
        <w:trPr>
          <w:trHeight w:val="877"/>
        </w:trPr>
        <w:tc>
          <w:tcPr>
            <w:tcW w:w="392" w:type="dxa"/>
          </w:tcPr>
          <w:p w14:paraId="63BBDC8D" w14:textId="77777777" w:rsidR="00491A86" w:rsidRPr="00CC67B6" w:rsidRDefault="00491A86" w:rsidP="0099046B">
            <w:pPr>
              <w:tabs>
                <w:tab w:val="left" w:pos="-250"/>
                <w:tab w:val="center" w:pos="4536"/>
                <w:tab w:val="right" w:pos="9072"/>
              </w:tabs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3908F659" w14:textId="77777777" w:rsidR="00491A86" w:rsidRPr="00CC67B6" w:rsidRDefault="00491A86" w:rsidP="009904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14:paraId="45752A22" w14:textId="77777777" w:rsidR="00491A86" w:rsidRDefault="00491A86" w:rsidP="00491A86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/>
        </w:rPr>
        <w:object w:dxaOrig="1440" w:dyaOrig="1440" w14:anchorId="6D7A7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;mso-position-horizontal-relative:text;mso-position-vertical-relative:text">
            <v:imagedata r:id="rId5" o:title=""/>
            <w10:wrap type="square" side="right"/>
          </v:shape>
          <o:OLEObject Type="Embed" ProgID="Msxml2.SAXXMLReader.5.0" ShapeID="_x0000_s1026" DrawAspect="Content" ObjectID="_1806384840" r:id="rId6"/>
        </w:obje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3ADE2847" w14:textId="77777777" w:rsidR="00491A86" w:rsidRDefault="00491A86" w:rsidP="00491A86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7BC0208" w14:textId="77777777" w:rsidR="00491A86" w:rsidRDefault="00491A86" w:rsidP="00491A8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2A6EFBC" w14:textId="77777777" w:rsidR="00491A86" w:rsidRDefault="00491A86" w:rsidP="00491A86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5947B877" w14:textId="77777777" w:rsidR="00491A86" w:rsidRPr="003A2803" w:rsidRDefault="00491A86" w:rsidP="00491A86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7C9DC7" w14:textId="77777777" w:rsidR="00491A86" w:rsidRDefault="00491A86" w:rsidP="00491A86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5ABD9F07" w14:textId="2941353B" w:rsidR="00491A86" w:rsidRPr="001D251F" w:rsidRDefault="00491A86" w:rsidP="00491A86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17.04</w:t>
      </w: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.2025 r.</w:t>
      </w:r>
    </w:p>
    <w:p w14:paraId="378AB12D" w14:textId="77777777" w:rsidR="00491A86" w:rsidRPr="001D251F" w:rsidRDefault="00491A86" w:rsidP="00491A86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5EBBD8D2" w14:textId="77777777" w:rsidR="00491A86" w:rsidRPr="001D251F" w:rsidRDefault="00491A86" w:rsidP="00491A86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4AFDAF9A" w14:textId="39AEDECE" w:rsidR="00491A86" w:rsidRDefault="00491A86" w:rsidP="00491A86">
      <w:pPr>
        <w:widowControl w:val="0"/>
        <w:suppressAutoHyphens/>
        <w:spacing w:after="0" w:line="240" w:lineRule="auto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491A86">
        <w:rPr>
          <w:rFonts w:ascii="Book Antiqua" w:hAnsi="Book Antiqua" w:cs="Book Antiqua"/>
          <w:b/>
          <w:bCs/>
          <w:sz w:val="20"/>
          <w:szCs w:val="20"/>
          <w:lang w:eastAsia="pl-PL"/>
        </w:rPr>
        <w:t>UKW/DZP-281-ZO-B-12/2025</w:t>
      </w:r>
    </w:p>
    <w:p w14:paraId="04A65D8E" w14:textId="77777777" w:rsidR="00491A86" w:rsidRPr="001D251F" w:rsidRDefault="00491A86" w:rsidP="00491A86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01468416" w14:textId="77777777" w:rsidR="00491A86" w:rsidRPr="001D251F" w:rsidRDefault="00491A86" w:rsidP="00491A86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INFORMACJA O MODYFIKACJI TREŚCI ZAPYTANIA OFERTOWEGO</w:t>
      </w:r>
    </w:p>
    <w:p w14:paraId="0945EB01" w14:textId="77777777" w:rsidR="00491A86" w:rsidRPr="001D251F" w:rsidRDefault="00491A86" w:rsidP="00491A86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5A5542E1" w14:textId="77777777" w:rsidR="00491A86" w:rsidRPr="001D251F" w:rsidRDefault="00491A86" w:rsidP="00491A86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13F39BF4" w14:textId="227C3A53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Uniwersytet Kazimierza Wielkiego w Bydgoszczy informuje, że w postępowaniu pn. „</w:t>
      </w:r>
      <w:r w:rsidRPr="00491A86">
        <w:rPr>
          <w:rFonts w:ascii="Book Antiqua" w:hAnsi="Book Antiqua" w:cs="Book Antiqua"/>
          <w:b/>
          <w:bCs/>
          <w:i/>
          <w:iCs/>
          <w:sz w:val="20"/>
          <w:szCs w:val="20"/>
          <w:lang w:eastAsia="pl-PL"/>
        </w:rPr>
        <w:t>Sukcesywna dostawa odczynników i materiałów zużywalnych na potrzeby UKW</w:t>
      </w: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” dokonuje modyfikacji treści zapytania ofertowego w następującym zakresie:</w:t>
      </w:r>
    </w:p>
    <w:p w14:paraId="03B29225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749D5940" w14:textId="4A0A0583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1. </w:t>
      </w:r>
      <w:r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>Załącznik nr 2 Formularz Cenowy, część 19, pozycja 3</w:t>
      </w:r>
      <w:r w:rsidRPr="001D251F"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1D251F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:</w:t>
      </w:r>
    </w:p>
    <w:p w14:paraId="5375D4D9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6A73788C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bookmarkStart w:id="0" w:name="_Hlk193708745"/>
      <w:r w:rsidRPr="001D251F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>Jest:</w:t>
      </w:r>
    </w:p>
    <w:p w14:paraId="46479E44" w14:textId="77777777" w:rsidR="00491A86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bookmarkStart w:id="1" w:name="_Hlk193708866"/>
      <w:bookmarkEnd w:id="0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Ostrza sterylne do skalpeli </w:t>
      </w:r>
      <w:proofErr w:type="spellStart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>Swann</w:t>
      </w:r>
      <w:proofErr w:type="spellEnd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Morton wykonane ze stali węglowej lub nierdzewnej ostrze nr 20 kompatybilne z rękojeściami z serii nr 3, opakowanie 100 szt. </w:t>
      </w:r>
    </w:p>
    <w:p w14:paraId="4DB517FA" w14:textId="77777777" w:rsidR="00491A86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3654043E" w14:textId="448F6F7E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>Powinno być:</w:t>
      </w:r>
    </w:p>
    <w:bookmarkEnd w:id="1"/>
    <w:p w14:paraId="503398BD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</w:p>
    <w:p w14:paraId="0B96E85A" w14:textId="12EAA66B" w:rsidR="00491A86" w:rsidRDefault="00491A86" w:rsidP="00491A86">
      <w:pPr>
        <w:widowControl w:val="0"/>
        <w:tabs>
          <w:tab w:val="left" w:pos="426"/>
        </w:tabs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Ostrza sterylne do skalpeli </w:t>
      </w:r>
      <w:proofErr w:type="spellStart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>Swann</w:t>
      </w:r>
      <w:proofErr w:type="spellEnd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Morton wykonane ze stali węglowej lub nierdzewnej ostrze nr 20 kompatybilne z rękojeściami z serii nr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4</w:t>
      </w:r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>, opakowanie 100 szt.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</w:t>
      </w:r>
    </w:p>
    <w:p w14:paraId="4EFF0507" w14:textId="77777777" w:rsidR="00491A86" w:rsidRPr="001D251F" w:rsidRDefault="00491A86" w:rsidP="00491A86">
      <w:pPr>
        <w:widowControl w:val="0"/>
        <w:tabs>
          <w:tab w:val="left" w:pos="426"/>
        </w:tabs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</w:p>
    <w:p w14:paraId="375C6E6E" w14:textId="7B8F4314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2. </w:t>
      </w:r>
      <w:r w:rsidRPr="00491A86"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Załącznik nr 2 Formularz Cenowy, część 19, pozycja </w:t>
      </w:r>
      <w:r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>4</w:t>
      </w:r>
      <w:r w:rsidRPr="00491A86"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 :</w:t>
      </w:r>
    </w:p>
    <w:p w14:paraId="55DE1AA3" w14:textId="77777777" w:rsidR="00491A86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</w:p>
    <w:p w14:paraId="70055277" w14:textId="4DE7EF8F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>Jest:</w:t>
      </w:r>
    </w:p>
    <w:p w14:paraId="17399DA3" w14:textId="6BF58019" w:rsidR="00491A86" w:rsidRPr="00491A86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Ostrza sterylne do skalpeli </w:t>
      </w:r>
      <w:proofErr w:type="spellStart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>Swann</w:t>
      </w:r>
      <w:proofErr w:type="spellEnd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Morton wykonane ze stali węglowej lub nierdzewnej ostrze nr 24 kompatybilne z rękojeściami z serii nr 3, opakowanie 100 szt.</w:t>
      </w:r>
    </w:p>
    <w:p w14:paraId="79FA0CA8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</w:pPr>
    </w:p>
    <w:p w14:paraId="08C492C1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>Powinno być:</w:t>
      </w:r>
    </w:p>
    <w:p w14:paraId="0F27BF65" w14:textId="215E450C" w:rsidR="00491A86" w:rsidRPr="00491A86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Ostrza sterylne do skalpeli </w:t>
      </w:r>
      <w:proofErr w:type="spellStart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>Swann</w:t>
      </w:r>
      <w:proofErr w:type="spellEnd"/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Morton wykonane ze stali węglowej lub nierdzewnej ostrze nr 24 kompatybilne z rękojeściami z serii nr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4</w:t>
      </w:r>
      <w:r w:rsidRPr="00491A86">
        <w:rPr>
          <w:rFonts w:ascii="Book Antiqua" w:hAnsi="Book Antiqua" w:cs="Tahoma"/>
          <w:kern w:val="2"/>
          <w:sz w:val="20"/>
          <w:szCs w:val="20"/>
          <w:lang w:eastAsia="hi-IN" w:bidi="hi-IN"/>
        </w:rPr>
        <w:t>, opakowanie 100 szt.</w:t>
      </w:r>
    </w:p>
    <w:p w14:paraId="6C3C4E22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</w:pPr>
    </w:p>
    <w:p w14:paraId="5A9D3056" w14:textId="77777777" w:rsidR="00491A86" w:rsidRPr="001D251F" w:rsidRDefault="00491A86" w:rsidP="00491A8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5B544CC6" w14:textId="77777777" w:rsidR="00491A86" w:rsidRPr="001D251F" w:rsidRDefault="00491A86" w:rsidP="00491A86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Pozostałe zapisy zapytania ofertowego pozostają bez zmian.</w:t>
      </w:r>
    </w:p>
    <w:p w14:paraId="4C123998" w14:textId="0DA6EC24" w:rsidR="00491A86" w:rsidRPr="001D251F" w:rsidRDefault="00491A86" w:rsidP="00491A86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Zmodyfikowana treść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załącznika nr 2 Formularz Cenowy</w:t>
      </w: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stanowi załącznik do niniejszego pisma.</w:t>
      </w:r>
    </w:p>
    <w:p w14:paraId="72386B1C" w14:textId="77777777" w:rsidR="00491A86" w:rsidRDefault="00491A86" w:rsidP="00491A86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79720AC7" w14:textId="77777777" w:rsidR="00491A86" w:rsidRDefault="00491A86" w:rsidP="00491A86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27146D01" w14:textId="77777777" w:rsidR="00491A86" w:rsidRPr="00A8663C" w:rsidRDefault="00491A86" w:rsidP="00491A86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55A68AD1" w14:textId="77777777" w:rsidR="00491A86" w:rsidRPr="00A8663C" w:rsidRDefault="00491A86" w:rsidP="00491A86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  <w:r w:rsidRPr="00A8663C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Kanclerz UKW</w:t>
      </w:r>
    </w:p>
    <w:p w14:paraId="71284A64" w14:textId="77777777" w:rsidR="00491A86" w:rsidRPr="00A8663C" w:rsidRDefault="00491A86" w:rsidP="00491A86">
      <w:pPr>
        <w:widowControl w:val="0"/>
        <w:suppressAutoHyphens/>
        <w:spacing w:after="0" w:line="240" w:lineRule="auto"/>
        <w:jc w:val="right"/>
        <w:rPr>
          <w:sz w:val="20"/>
          <w:szCs w:val="20"/>
        </w:rPr>
      </w:pPr>
      <w:r w:rsidRPr="00A8663C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mgr Monika Matowska</w:t>
      </w:r>
    </w:p>
    <w:p w14:paraId="31BACFB2" w14:textId="77777777" w:rsidR="00491A86" w:rsidRPr="00A8663C" w:rsidRDefault="00491A86" w:rsidP="00491A86"/>
    <w:sectPr w:rsidR="00491A86" w:rsidRPr="00A8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29"/>
    <w:multiLevelType w:val="hybridMultilevel"/>
    <w:tmpl w:val="AB5EEA9C"/>
    <w:lvl w:ilvl="0" w:tplc="0F7EB48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3794"/>
    <w:multiLevelType w:val="hybridMultilevel"/>
    <w:tmpl w:val="AB5EEA9C"/>
    <w:lvl w:ilvl="0" w:tplc="0F7EB48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86"/>
    <w:rsid w:val="00491A86"/>
    <w:rsid w:val="00A8663C"/>
    <w:rsid w:val="00D074F7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0CE54"/>
  <w15:chartTrackingRefBased/>
  <w15:docId w15:val="{5F8B61BB-72A5-430C-806A-7B53EAAC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86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1A86"/>
    <w:rPr>
      <w:color w:val="0000FF"/>
      <w:u w:val="single"/>
    </w:rPr>
  </w:style>
  <w:style w:type="table" w:styleId="Tabela-Siatka">
    <w:name w:val="Table Grid"/>
    <w:basedOn w:val="Standardowy"/>
    <w:uiPriority w:val="39"/>
    <w:rsid w:val="0049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2025-04-17T06:47:00Z</cp:lastPrinted>
  <dcterms:created xsi:type="dcterms:W3CDTF">2025-04-17T06:33:00Z</dcterms:created>
  <dcterms:modified xsi:type="dcterms:W3CDTF">2025-04-17T06:47:00Z</dcterms:modified>
</cp:coreProperties>
</file>