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76" w:rsidRPr="00426576" w:rsidRDefault="00426576" w:rsidP="00426576">
      <w:pPr>
        <w:jc w:val="right"/>
        <w:rPr>
          <w:rFonts w:ascii="Arial" w:hAnsi="Arial" w:cs="Arial"/>
          <w:sz w:val="20"/>
          <w:szCs w:val="20"/>
        </w:rPr>
      </w:pPr>
      <w:r w:rsidRPr="00426576">
        <w:rPr>
          <w:rFonts w:ascii="Arial" w:hAnsi="Arial" w:cs="Arial"/>
          <w:sz w:val="20"/>
          <w:szCs w:val="20"/>
        </w:rPr>
        <w:t xml:space="preserve">Załącznik nr </w:t>
      </w:r>
      <w:r>
        <w:rPr>
          <w:rFonts w:ascii="Arial" w:hAnsi="Arial" w:cs="Arial"/>
          <w:sz w:val="20"/>
          <w:szCs w:val="20"/>
        </w:rPr>
        <w:t>4</w:t>
      </w:r>
    </w:p>
    <w:p w:rsidR="00426576" w:rsidRPr="00426576" w:rsidRDefault="00426576" w:rsidP="00426576">
      <w:pPr>
        <w:jc w:val="right"/>
        <w:rPr>
          <w:rFonts w:ascii="Arial" w:hAnsi="Arial" w:cs="Arial"/>
          <w:sz w:val="20"/>
          <w:szCs w:val="20"/>
        </w:rPr>
      </w:pPr>
    </w:p>
    <w:p w:rsidR="00426576" w:rsidRPr="00426576" w:rsidRDefault="00426576" w:rsidP="00426576">
      <w:pPr>
        <w:tabs>
          <w:tab w:val="left" w:pos="1232"/>
        </w:tabs>
        <w:jc w:val="center"/>
        <w:rPr>
          <w:rFonts w:ascii="Arial" w:hAnsi="Arial" w:cs="Arial"/>
          <w:b/>
          <w:sz w:val="20"/>
          <w:szCs w:val="20"/>
        </w:rPr>
      </w:pPr>
    </w:p>
    <w:p w:rsidR="00426576" w:rsidRPr="00426576" w:rsidRDefault="00426576" w:rsidP="00426576">
      <w:pPr>
        <w:tabs>
          <w:tab w:val="left" w:pos="1232"/>
        </w:tabs>
        <w:jc w:val="center"/>
        <w:rPr>
          <w:rFonts w:ascii="Arial" w:hAnsi="Arial" w:cs="Arial"/>
          <w:b/>
          <w:sz w:val="20"/>
          <w:szCs w:val="20"/>
        </w:rPr>
      </w:pPr>
      <w:r w:rsidRPr="00426576">
        <w:rPr>
          <w:rFonts w:ascii="Arial" w:hAnsi="Arial" w:cs="Arial"/>
          <w:b/>
          <w:sz w:val="20"/>
          <w:szCs w:val="20"/>
        </w:rPr>
        <w:t>OPIS PRZEDMIOTU ZAMÓWIENIA</w:t>
      </w:r>
    </w:p>
    <w:p w:rsidR="00426576" w:rsidRPr="00426576" w:rsidRDefault="00426576" w:rsidP="00426576">
      <w:pPr>
        <w:tabs>
          <w:tab w:val="left" w:pos="1232"/>
        </w:tabs>
        <w:jc w:val="center"/>
        <w:rPr>
          <w:rFonts w:ascii="Arial" w:hAnsi="Arial" w:cs="Arial"/>
          <w:b/>
          <w:sz w:val="20"/>
          <w:szCs w:val="20"/>
        </w:rPr>
      </w:pPr>
      <w:r w:rsidRPr="00426576">
        <w:rPr>
          <w:rFonts w:ascii="Arial" w:hAnsi="Arial" w:cs="Arial"/>
          <w:b/>
          <w:sz w:val="20"/>
          <w:szCs w:val="20"/>
        </w:rPr>
        <w:t xml:space="preserve">SPECYFIKACJA TECHNICZNA </w:t>
      </w:r>
    </w:p>
    <w:p w:rsidR="00426576" w:rsidRPr="00426576" w:rsidRDefault="00426576" w:rsidP="00426576">
      <w:pPr>
        <w:tabs>
          <w:tab w:val="left" w:pos="1232"/>
        </w:tabs>
        <w:jc w:val="center"/>
        <w:rPr>
          <w:rFonts w:ascii="Arial" w:hAnsi="Arial" w:cs="Arial"/>
          <w:b/>
          <w:sz w:val="20"/>
          <w:szCs w:val="20"/>
        </w:rPr>
      </w:pPr>
    </w:p>
    <w:p w:rsidR="00426576" w:rsidRPr="00426576" w:rsidRDefault="00426576" w:rsidP="00426576">
      <w:pPr>
        <w:tabs>
          <w:tab w:val="left" w:pos="1232"/>
        </w:tabs>
        <w:jc w:val="center"/>
        <w:rPr>
          <w:rFonts w:ascii="Arial" w:hAnsi="Arial" w:cs="Arial"/>
          <w:b/>
          <w:sz w:val="20"/>
          <w:szCs w:val="20"/>
        </w:rPr>
      </w:pPr>
      <w:r w:rsidRPr="00426576">
        <w:rPr>
          <w:rFonts w:ascii="Arial" w:hAnsi="Arial" w:cs="Arial"/>
          <w:b/>
          <w:sz w:val="20"/>
          <w:szCs w:val="20"/>
        </w:rPr>
        <w:t>Wyposażenie teleinformatyczne sieci komputerowych</w:t>
      </w:r>
    </w:p>
    <w:p w:rsidR="00426576" w:rsidRPr="00426576" w:rsidRDefault="00426576" w:rsidP="00426576">
      <w:pPr>
        <w:tabs>
          <w:tab w:val="left" w:pos="1232"/>
        </w:tabs>
        <w:jc w:val="center"/>
        <w:rPr>
          <w:rFonts w:ascii="Arial" w:hAnsi="Arial" w:cs="Arial"/>
          <w:b/>
          <w:sz w:val="20"/>
          <w:szCs w:val="20"/>
        </w:rPr>
      </w:pPr>
      <w:r w:rsidRPr="00426576">
        <w:rPr>
          <w:rFonts w:ascii="Arial" w:hAnsi="Arial" w:cs="Arial"/>
          <w:b/>
          <w:sz w:val="20"/>
          <w:szCs w:val="20"/>
        </w:rPr>
        <w:t>NOTEBOOK NB (bcG)</w:t>
      </w:r>
    </w:p>
    <w:p w:rsidR="00426576" w:rsidRPr="00426576" w:rsidRDefault="00426576" w:rsidP="00426576">
      <w:pPr>
        <w:spacing w:line="360" w:lineRule="auto"/>
        <w:jc w:val="both"/>
        <w:rPr>
          <w:rFonts w:ascii="Arial" w:hAnsi="Arial" w:cs="Arial"/>
          <w:iCs/>
          <w:sz w:val="20"/>
          <w:szCs w:val="20"/>
        </w:rPr>
      </w:pPr>
    </w:p>
    <w:sdt>
      <w:sdtPr>
        <w:rPr>
          <w:rFonts w:ascii="Arial" w:eastAsia="Times New Roman" w:hAnsi="Arial" w:cs="Arial"/>
          <w:color w:val="auto"/>
          <w:sz w:val="20"/>
          <w:szCs w:val="20"/>
        </w:rPr>
        <w:id w:val="1978492775"/>
        <w:docPartObj>
          <w:docPartGallery w:val="Table of Contents"/>
          <w:docPartUnique/>
        </w:docPartObj>
      </w:sdtPr>
      <w:sdtEndPr>
        <w:rPr>
          <w:b/>
          <w:bCs/>
        </w:rPr>
      </w:sdtEndPr>
      <w:sdtContent>
        <w:p w:rsidR="00426576" w:rsidRPr="00426576" w:rsidRDefault="00426576" w:rsidP="00426576">
          <w:pPr>
            <w:pStyle w:val="Nagwekspisutreci"/>
            <w:rPr>
              <w:rFonts w:ascii="Arial" w:hAnsi="Arial" w:cs="Arial"/>
              <w:color w:val="auto"/>
              <w:sz w:val="20"/>
              <w:szCs w:val="20"/>
            </w:rPr>
          </w:pPr>
          <w:r w:rsidRPr="00426576">
            <w:rPr>
              <w:rFonts w:ascii="Arial" w:hAnsi="Arial" w:cs="Arial"/>
              <w:color w:val="auto"/>
              <w:sz w:val="20"/>
              <w:szCs w:val="20"/>
            </w:rPr>
            <w:t>Spis treści</w:t>
          </w:r>
        </w:p>
        <w:p w:rsidR="00426576" w:rsidRPr="00426576" w:rsidRDefault="00426576" w:rsidP="00426576">
          <w:pPr>
            <w:pStyle w:val="Spistreci1"/>
            <w:tabs>
              <w:tab w:val="left" w:pos="440"/>
              <w:tab w:val="right" w:leader="dot" w:pos="9062"/>
            </w:tabs>
            <w:rPr>
              <w:rFonts w:ascii="Arial" w:eastAsiaTheme="minorEastAsia" w:hAnsi="Arial" w:cs="Arial"/>
              <w:noProof/>
              <w:sz w:val="20"/>
              <w:szCs w:val="20"/>
            </w:rPr>
          </w:pPr>
          <w:r w:rsidRPr="00426576">
            <w:rPr>
              <w:rFonts w:ascii="Arial" w:hAnsi="Arial" w:cs="Arial"/>
              <w:sz w:val="20"/>
              <w:szCs w:val="20"/>
            </w:rPr>
            <w:fldChar w:fldCharType="begin"/>
          </w:r>
          <w:r w:rsidRPr="00426576">
            <w:rPr>
              <w:rFonts w:ascii="Arial" w:hAnsi="Arial" w:cs="Arial"/>
              <w:sz w:val="20"/>
              <w:szCs w:val="20"/>
            </w:rPr>
            <w:instrText xml:space="preserve"> TOC \o "1-3" \h \z \u </w:instrText>
          </w:r>
          <w:r w:rsidRPr="00426576">
            <w:rPr>
              <w:rFonts w:ascii="Arial" w:hAnsi="Arial" w:cs="Arial"/>
              <w:sz w:val="20"/>
              <w:szCs w:val="20"/>
            </w:rPr>
            <w:fldChar w:fldCharType="separate"/>
          </w:r>
          <w:hyperlink w:anchor="_Toc193871801" w:history="1">
            <w:r w:rsidRPr="00426576">
              <w:rPr>
                <w:rStyle w:val="Hipercze"/>
                <w:rFonts w:ascii="Arial" w:hAnsi="Arial" w:cs="Arial"/>
                <w:noProof/>
                <w:sz w:val="20"/>
                <w:szCs w:val="20"/>
              </w:rPr>
              <w:t>1.</w:t>
            </w:r>
            <w:r w:rsidRPr="00426576">
              <w:rPr>
                <w:rFonts w:ascii="Arial" w:eastAsiaTheme="minorEastAsia" w:hAnsi="Arial" w:cs="Arial"/>
                <w:noProof/>
                <w:sz w:val="20"/>
                <w:szCs w:val="20"/>
              </w:rPr>
              <w:tab/>
            </w:r>
            <w:r w:rsidRPr="00426576">
              <w:rPr>
                <w:rStyle w:val="Hipercze"/>
                <w:rFonts w:ascii="Arial" w:hAnsi="Arial" w:cs="Arial"/>
                <w:noProof/>
                <w:sz w:val="20"/>
                <w:szCs w:val="20"/>
              </w:rPr>
              <w:t>Przedmiot zamówienia</w:t>
            </w:r>
            <w:r w:rsidRPr="00426576">
              <w:rPr>
                <w:rFonts w:ascii="Arial" w:hAnsi="Arial" w:cs="Arial"/>
                <w:noProof/>
                <w:webHidden/>
                <w:sz w:val="20"/>
                <w:szCs w:val="20"/>
              </w:rPr>
              <w:tab/>
            </w:r>
            <w:r w:rsidRPr="00426576">
              <w:rPr>
                <w:rFonts w:ascii="Arial" w:hAnsi="Arial" w:cs="Arial"/>
                <w:noProof/>
                <w:webHidden/>
                <w:sz w:val="20"/>
                <w:szCs w:val="20"/>
              </w:rPr>
              <w:fldChar w:fldCharType="begin"/>
            </w:r>
            <w:r w:rsidRPr="00426576">
              <w:rPr>
                <w:rFonts w:ascii="Arial" w:hAnsi="Arial" w:cs="Arial"/>
                <w:noProof/>
                <w:webHidden/>
                <w:sz w:val="20"/>
                <w:szCs w:val="20"/>
              </w:rPr>
              <w:instrText xml:space="preserve"> PAGEREF _Toc193871801 \h </w:instrText>
            </w:r>
            <w:r w:rsidRPr="00426576">
              <w:rPr>
                <w:rFonts w:ascii="Arial" w:hAnsi="Arial" w:cs="Arial"/>
                <w:noProof/>
                <w:webHidden/>
                <w:sz w:val="20"/>
                <w:szCs w:val="20"/>
              </w:rPr>
            </w:r>
            <w:r w:rsidRPr="00426576">
              <w:rPr>
                <w:rFonts w:ascii="Arial" w:hAnsi="Arial" w:cs="Arial"/>
                <w:noProof/>
                <w:webHidden/>
                <w:sz w:val="20"/>
                <w:szCs w:val="20"/>
              </w:rPr>
              <w:fldChar w:fldCharType="separate"/>
            </w:r>
            <w:r w:rsidRPr="00426576">
              <w:rPr>
                <w:rFonts w:ascii="Arial" w:hAnsi="Arial" w:cs="Arial"/>
                <w:noProof/>
                <w:webHidden/>
                <w:sz w:val="20"/>
                <w:szCs w:val="20"/>
              </w:rPr>
              <w:t>1</w:t>
            </w:r>
            <w:r w:rsidRPr="00426576">
              <w:rPr>
                <w:rFonts w:ascii="Arial" w:hAnsi="Arial" w:cs="Arial"/>
                <w:noProof/>
                <w:webHidden/>
                <w:sz w:val="20"/>
                <w:szCs w:val="20"/>
              </w:rPr>
              <w:fldChar w:fldCharType="end"/>
            </w:r>
          </w:hyperlink>
        </w:p>
        <w:p w:rsidR="00426576" w:rsidRPr="00426576" w:rsidRDefault="00426576" w:rsidP="00426576">
          <w:pPr>
            <w:pStyle w:val="Spistreci1"/>
            <w:tabs>
              <w:tab w:val="left" w:pos="440"/>
              <w:tab w:val="right" w:leader="dot" w:pos="9062"/>
            </w:tabs>
            <w:rPr>
              <w:rFonts w:ascii="Arial" w:eastAsiaTheme="minorEastAsia" w:hAnsi="Arial" w:cs="Arial"/>
              <w:noProof/>
              <w:sz w:val="20"/>
              <w:szCs w:val="20"/>
            </w:rPr>
          </w:pPr>
          <w:hyperlink w:anchor="_Toc193871802" w:history="1">
            <w:r w:rsidRPr="00426576">
              <w:rPr>
                <w:rStyle w:val="Hipercze"/>
                <w:rFonts w:ascii="Arial" w:hAnsi="Arial" w:cs="Arial"/>
                <w:noProof/>
                <w:sz w:val="20"/>
                <w:szCs w:val="20"/>
              </w:rPr>
              <w:t>2.</w:t>
            </w:r>
            <w:r w:rsidRPr="00426576">
              <w:rPr>
                <w:rFonts w:ascii="Arial" w:eastAsiaTheme="minorEastAsia" w:hAnsi="Arial" w:cs="Arial"/>
                <w:noProof/>
                <w:sz w:val="20"/>
                <w:szCs w:val="20"/>
              </w:rPr>
              <w:tab/>
            </w:r>
            <w:r w:rsidRPr="00426576">
              <w:rPr>
                <w:rStyle w:val="Hipercze"/>
                <w:rFonts w:ascii="Arial" w:hAnsi="Arial" w:cs="Arial"/>
                <w:noProof/>
                <w:sz w:val="20"/>
                <w:szCs w:val="20"/>
              </w:rPr>
              <w:t>Zamówienie gwarantowane oraz opcjonalne</w:t>
            </w:r>
            <w:r w:rsidRPr="00426576">
              <w:rPr>
                <w:rFonts w:ascii="Arial" w:hAnsi="Arial" w:cs="Arial"/>
                <w:noProof/>
                <w:webHidden/>
                <w:sz w:val="20"/>
                <w:szCs w:val="20"/>
              </w:rPr>
              <w:tab/>
            </w:r>
            <w:r w:rsidRPr="00426576">
              <w:rPr>
                <w:rFonts w:ascii="Arial" w:hAnsi="Arial" w:cs="Arial"/>
                <w:noProof/>
                <w:webHidden/>
                <w:sz w:val="20"/>
                <w:szCs w:val="20"/>
              </w:rPr>
              <w:fldChar w:fldCharType="begin"/>
            </w:r>
            <w:r w:rsidRPr="00426576">
              <w:rPr>
                <w:rFonts w:ascii="Arial" w:hAnsi="Arial" w:cs="Arial"/>
                <w:noProof/>
                <w:webHidden/>
                <w:sz w:val="20"/>
                <w:szCs w:val="20"/>
              </w:rPr>
              <w:instrText xml:space="preserve"> PAGEREF _Toc193871802 \h </w:instrText>
            </w:r>
            <w:r w:rsidRPr="00426576">
              <w:rPr>
                <w:rFonts w:ascii="Arial" w:hAnsi="Arial" w:cs="Arial"/>
                <w:noProof/>
                <w:webHidden/>
                <w:sz w:val="20"/>
                <w:szCs w:val="20"/>
              </w:rPr>
            </w:r>
            <w:r w:rsidRPr="00426576">
              <w:rPr>
                <w:rFonts w:ascii="Arial" w:hAnsi="Arial" w:cs="Arial"/>
                <w:noProof/>
                <w:webHidden/>
                <w:sz w:val="20"/>
                <w:szCs w:val="20"/>
              </w:rPr>
              <w:fldChar w:fldCharType="separate"/>
            </w:r>
            <w:r w:rsidRPr="00426576">
              <w:rPr>
                <w:rFonts w:ascii="Arial" w:hAnsi="Arial" w:cs="Arial"/>
                <w:noProof/>
                <w:webHidden/>
                <w:sz w:val="20"/>
                <w:szCs w:val="20"/>
              </w:rPr>
              <w:t>2</w:t>
            </w:r>
            <w:r w:rsidRPr="00426576">
              <w:rPr>
                <w:rFonts w:ascii="Arial" w:hAnsi="Arial" w:cs="Arial"/>
                <w:noProof/>
                <w:webHidden/>
                <w:sz w:val="20"/>
                <w:szCs w:val="20"/>
              </w:rPr>
              <w:fldChar w:fldCharType="end"/>
            </w:r>
          </w:hyperlink>
        </w:p>
        <w:p w:rsidR="00426576" w:rsidRPr="00426576" w:rsidRDefault="00426576" w:rsidP="00426576">
          <w:pPr>
            <w:pStyle w:val="Spistreci1"/>
            <w:tabs>
              <w:tab w:val="left" w:pos="440"/>
              <w:tab w:val="right" w:leader="dot" w:pos="9062"/>
            </w:tabs>
            <w:rPr>
              <w:rFonts w:ascii="Arial" w:eastAsiaTheme="minorEastAsia" w:hAnsi="Arial" w:cs="Arial"/>
              <w:noProof/>
              <w:sz w:val="20"/>
              <w:szCs w:val="20"/>
            </w:rPr>
          </w:pPr>
          <w:hyperlink w:anchor="_Toc193871803" w:history="1">
            <w:r w:rsidRPr="00426576">
              <w:rPr>
                <w:rStyle w:val="Hipercze"/>
                <w:rFonts w:ascii="Arial" w:hAnsi="Arial" w:cs="Arial"/>
                <w:noProof/>
                <w:sz w:val="20"/>
                <w:szCs w:val="20"/>
              </w:rPr>
              <w:t>3.</w:t>
            </w:r>
            <w:r w:rsidRPr="00426576">
              <w:rPr>
                <w:rFonts w:ascii="Arial" w:eastAsiaTheme="minorEastAsia" w:hAnsi="Arial" w:cs="Arial"/>
                <w:noProof/>
                <w:sz w:val="20"/>
                <w:szCs w:val="20"/>
              </w:rPr>
              <w:tab/>
            </w:r>
            <w:r w:rsidRPr="00426576">
              <w:rPr>
                <w:rStyle w:val="Hipercze"/>
                <w:rFonts w:ascii="Arial" w:hAnsi="Arial" w:cs="Arial"/>
                <w:noProof/>
                <w:sz w:val="20"/>
                <w:szCs w:val="20"/>
              </w:rPr>
              <w:t>Specyfikacja sprzętu NOTEBOOK NB (bcG)</w:t>
            </w:r>
            <w:r w:rsidRPr="00426576">
              <w:rPr>
                <w:rFonts w:ascii="Arial" w:hAnsi="Arial" w:cs="Arial"/>
                <w:noProof/>
                <w:webHidden/>
                <w:sz w:val="20"/>
                <w:szCs w:val="20"/>
              </w:rPr>
              <w:tab/>
            </w:r>
            <w:r w:rsidRPr="00426576">
              <w:rPr>
                <w:rFonts w:ascii="Arial" w:hAnsi="Arial" w:cs="Arial"/>
                <w:noProof/>
                <w:webHidden/>
                <w:sz w:val="20"/>
                <w:szCs w:val="20"/>
              </w:rPr>
              <w:fldChar w:fldCharType="begin"/>
            </w:r>
            <w:r w:rsidRPr="00426576">
              <w:rPr>
                <w:rFonts w:ascii="Arial" w:hAnsi="Arial" w:cs="Arial"/>
                <w:noProof/>
                <w:webHidden/>
                <w:sz w:val="20"/>
                <w:szCs w:val="20"/>
              </w:rPr>
              <w:instrText xml:space="preserve"> PAGEREF _Toc193871803 \h </w:instrText>
            </w:r>
            <w:r w:rsidRPr="00426576">
              <w:rPr>
                <w:rFonts w:ascii="Arial" w:hAnsi="Arial" w:cs="Arial"/>
                <w:noProof/>
                <w:webHidden/>
                <w:sz w:val="20"/>
                <w:szCs w:val="20"/>
              </w:rPr>
            </w:r>
            <w:r w:rsidRPr="00426576">
              <w:rPr>
                <w:rFonts w:ascii="Arial" w:hAnsi="Arial" w:cs="Arial"/>
                <w:noProof/>
                <w:webHidden/>
                <w:sz w:val="20"/>
                <w:szCs w:val="20"/>
              </w:rPr>
              <w:fldChar w:fldCharType="separate"/>
            </w:r>
            <w:r w:rsidRPr="00426576">
              <w:rPr>
                <w:rFonts w:ascii="Arial" w:hAnsi="Arial" w:cs="Arial"/>
                <w:noProof/>
                <w:webHidden/>
                <w:sz w:val="20"/>
                <w:szCs w:val="20"/>
              </w:rPr>
              <w:t>2</w:t>
            </w:r>
            <w:r w:rsidRPr="00426576">
              <w:rPr>
                <w:rFonts w:ascii="Arial" w:hAnsi="Arial" w:cs="Arial"/>
                <w:noProof/>
                <w:webHidden/>
                <w:sz w:val="20"/>
                <w:szCs w:val="20"/>
              </w:rPr>
              <w:fldChar w:fldCharType="end"/>
            </w:r>
          </w:hyperlink>
        </w:p>
        <w:p w:rsidR="00426576" w:rsidRPr="00426576" w:rsidRDefault="00426576" w:rsidP="00426576">
          <w:pPr>
            <w:pStyle w:val="Spistreci1"/>
            <w:tabs>
              <w:tab w:val="left" w:pos="440"/>
              <w:tab w:val="right" w:leader="dot" w:pos="9062"/>
            </w:tabs>
            <w:rPr>
              <w:rFonts w:ascii="Arial" w:eastAsiaTheme="minorEastAsia" w:hAnsi="Arial" w:cs="Arial"/>
              <w:noProof/>
              <w:sz w:val="20"/>
              <w:szCs w:val="20"/>
            </w:rPr>
          </w:pPr>
          <w:hyperlink w:anchor="_Toc193871804" w:history="1">
            <w:r w:rsidRPr="00426576">
              <w:rPr>
                <w:rStyle w:val="Hipercze"/>
                <w:rFonts w:ascii="Arial" w:hAnsi="Arial" w:cs="Arial"/>
                <w:noProof/>
                <w:sz w:val="20"/>
                <w:szCs w:val="20"/>
              </w:rPr>
              <w:t>4.</w:t>
            </w:r>
            <w:r w:rsidRPr="00426576">
              <w:rPr>
                <w:rFonts w:ascii="Arial" w:eastAsiaTheme="minorEastAsia" w:hAnsi="Arial" w:cs="Arial"/>
                <w:noProof/>
                <w:sz w:val="20"/>
                <w:szCs w:val="20"/>
              </w:rPr>
              <w:tab/>
            </w:r>
            <w:r w:rsidRPr="00426576">
              <w:rPr>
                <w:rStyle w:val="Hipercze"/>
                <w:rFonts w:ascii="Arial" w:hAnsi="Arial" w:cs="Arial"/>
                <w:noProof/>
                <w:sz w:val="20"/>
                <w:szCs w:val="20"/>
              </w:rPr>
              <w:t>Warunki zawierania umowy</w:t>
            </w:r>
            <w:r w:rsidRPr="00426576">
              <w:rPr>
                <w:rFonts w:ascii="Arial" w:hAnsi="Arial" w:cs="Arial"/>
                <w:noProof/>
                <w:webHidden/>
                <w:sz w:val="20"/>
                <w:szCs w:val="20"/>
              </w:rPr>
              <w:tab/>
            </w:r>
            <w:r w:rsidRPr="00426576">
              <w:rPr>
                <w:rFonts w:ascii="Arial" w:hAnsi="Arial" w:cs="Arial"/>
                <w:noProof/>
                <w:webHidden/>
                <w:sz w:val="20"/>
                <w:szCs w:val="20"/>
              </w:rPr>
              <w:fldChar w:fldCharType="begin"/>
            </w:r>
            <w:r w:rsidRPr="00426576">
              <w:rPr>
                <w:rFonts w:ascii="Arial" w:hAnsi="Arial" w:cs="Arial"/>
                <w:noProof/>
                <w:webHidden/>
                <w:sz w:val="20"/>
                <w:szCs w:val="20"/>
              </w:rPr>
              <w:instrText xml:space="preserve"> PAGEREF _Toc193871804 \h </w:instrText>
            </w:r>
            <w:r w:rsidRPr="00426576">
              <w:rPr>
                <w:rFonts w:ascii="Arial" w:hAnsi="Arial" w:cs="Arial"/>
                <w:noProof/>
                <w:webHidden/>
                <w:sz w:val="20"/>
                <w:szCs w:val="20"/>
              </w:rPr>
            </w:r>
            <w:r w:rsidRPr="00426576">
              <w:rPr>
                <w:rFonts w:ascii="Arial" w:hAnsi="Arial" w:cs="Arial"/>
                <w:noProof/>
                <w:webHidden/>
                <w:sz w:val="20"/>
                <w:szCs w:val="20"/>
              </w:rPr>
              <w:fldChar w:fldCharType="separate"/>
            </w:r>
            <w:r w:rsidRPr="00426576">
              <w:rPr>
                <w:rFonts w:ascii="Arial" w:hAnsi="Arial" w:cs="Arial"/>
                <w:noProof/>
                <w:webHidden/>
                <w:sz w:val="20"/>
                <w:szCs w:val="20"/>
              </w:rPr>
              <w:t>8</w:t>
            </w:r>
            <w:r w:rsidRPr="00426576">
              <w:rPr>
                <w:rFonts w:ascii="Arial" w:hAnsi="Arial" w:cs="Arial"/>
                <w:noProof/>
                <w:webHidden/>
                <w:sz w:val="20"/>
                <w:szCs w:val="20"/>
              </w:rPr>
              <w:fldChar w:fldCharType="end"/>
            </w:r>
          </w:hyperlink>
        </w:p>
        <w:p w:rsidR="00426576" w:rsidRPr="00426576" w:rsidRDefault="00426576" w:rsidP="00426576">
          <w:pPr>
            <w:rPr>
              <w:rFonts w:ascii="Arial" w:hAnsi="Arial" w:cs="Arial"/>
              <w:sz w:val="20"/>
              <w:szCs w:val="20"/>
            </w:rPr>
          </w:pPr>
          <w:r w:rsidRPr="00426576">
            <w:rPr>
              <w:rFonts w:ascii="Arial" w:hAnsi="Arial" w:cs="Arial"/>
              <w:b/>
              <w:bCs/>
              <w:sz w:val="20"/>
              <w:szCs w:val="20"/>
            </w:rPr>
            <w:fldChar w:fldCharType="end"/>
          </w:r>
        </w:p>
      </w:sdtContent>
    </w:sdt>
    <w:p w:rsidR="00426576" w:rsidRPr="00426576" w:rsidRDefault="00426576" w:rsidP="00426576">
      <w:pPr>
        <w:pStyle w:val="Nagwek1"/>
        <w:rPr>
          <w:rFonts w:ascii="Arial" w:hAnsi="Arial" w:cs="Arial"/>
          <w:sz w:val="20"/>
          <w:szCs w:val="20"/>
        </w:rPr>
      </w:pPr>
    </w:p>
    <w:p w:rsidR="00426576" w:rsidRPr="00426576" w:rsidRDefault="00426576" w:rsidP="00426576">
      <w:pPr>
        <w:pStyle w:val="Nagwek1"/>
        <w:numPr>
          <w:ilvl w:val="0"/>
          <w:numId w:val="1"/>
        </w:numPr>
        <w:rPr>
          <w:rFonts w:ascii="Arial" w:hAnsi="Arial" w:cs="Arial"/>
          <w:sz w:val="20"/>
          <w:szCs w:val="20"/>
        </w:rPr>
      </w:pPr>
      <w:bookmarkStart w:id="0" w:name="_Toc193871801"/>
      <w:r w:rsidRPr="00426576">
        <w:rPr>
          <w:rFonts w:ascii="Arial" w:hAnsi="Arial" w:cs="Arial"/>
          <w:sz w:val="20"/>
          <w:szCs w:val="20"/>
        </w:rPr>
        <w:t>Przedmiot zamówienia</w:t>
      </w:r>
      <w:bookmarkEnd w:id="0"/>
      <w:r w:rsidRPr="00426576">
        <w:rPr>
          <w:rFonts w:ascii="Arial" w:hAnsi="Arial" w:cs="Arial"/>
          <w:sz w:val="20"/>
          <w:szCs w:val="20"/>
        </w:rPr>
        <w:t xml:space="preserve"> </w:t>
      </w:r>
    </w:p>
    <w:p w:rsidR="00426576" w:rsidRPr="00426576" w:rsidRDefault="00426576" w:rsidP="00426576">
      <w:pPr>
        <w:pStyle w:val="Default"/>
        <w:jc w:val="both"/>
        <w:rPr>
          <w:color w:val="auto"/>
          <w:sz w:val="20"/>
          <w:szCs w:val="20"/>
        </w:rPr>
      </w:pPr>
      <w:r w:rsidRPr="00426576">
        <w:rPr>
          <w:color w:val="auto"/>
          <w:sz w:val="20"/>
          <w:szCs w:val="20"/>
        </w:rPr>
        <w:t xml:space="preserve">Przedmiotem niniejszego zamówienia jest zakup i dostawa fabrycznie nowego asortymentu. Towar musi być oryginalny fabrycznie nowy i nieużywany, wyprodukowany nie wcześniej niż w roku podpisania umowy o dostawę,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rsidR="00426576" w:rsidRPr="00426576" w:rsidRDefault="00426576" w:rsidP="00426576">
      <w:pPr>
        <w:pStyle w:val="Default"/>
        <w:jc w:val="both"/>
        <w:rPr>
          <w:color w:val="auto"/>
          <w:sz w:val="20"/>
          <w:szCs w:val="20"/>
        </w:rPr>
      </w:pPr>
    </w:p>
    <w:p w:rsidR="00426576" w:rsidRPr="00426576" w:rsidRDefault="00426576" w:rsidP="00426576">
      <w:pPr>
        <w:pStyle w:val="Nagwek1"/>
        <w:numPr>
          <w:ilvl w:val="0"/>
          <w:numId w:val="1"/>
        </w:numPr>
        <w:rPr>
          <w:rFonts w:ascii="Arial" w:hAnsi="Arial" w:cs="Arial"/>
          <w:sz w:val="20"/>
          <w:szCs w:val="20"/>
        </w:rPr>
      </w:pPr>
      <w:bookmarkStart w:id="1" w:name="_Toc193871802"/>
      <w:r w:rsidRPr="00426576">
        <w:rPr>
          <w:rFonts w:ascii="Arial" w:hAnsi="Arial" w:cs="Arial"/>
          <w:sz w:val="20"/>
          <w:szCs w:val="20"/>
        </w:rPr>
        <w:t>Zamówienie gwarantowane oraz opcjonalne</w:t>
      </w:r>
      <w:bookmarkEnd w:id="1"/>
      <w:r w:rsidRPr="00426576">
        <w:rPr>
          <w:rFonts w:ascii="Arial" w:hAnsi="Arial" w:cs="Arial"/>
          <w:sz w:val="20"/>
          <w:szCs w:val="20"/>
        </w:rPr>
        <w:t xml:space="preserve"> </w:t>
      </w:r>
    </w:p>
    <w:tbl>
      <w:tblPr>
        <w:tblpPr w:leftFromText="141" w:rightFromText="141" w:vertAnchor="page" w:horzAnchor="margin" w:tblpY="2329"/>
        <w:tblW w:w="8925" w:type="dxa"/>
        <w:tblLayout w:type="fixed"/>
        <w:tblCellMar>
          <w:left w:w="70" w:type="dxa"/>
          <w:right w:w="70" w:type="dxa"/>
        </w:tblCellMar>
        <w:tblLook w:val="04A0" w:firstRow="1" w:lastRow="0" w:firstColumn="1" w:lastColumn="0" w:noHBand="0" w:noVBand="1"/>
      </w:tblPr>
      <w:tblGrid>
        <w:gridCol w:w="704"/>
        <w:gridCol w:w="3969"/>
        <w:gridCol w:w="1276"/>
        <w:gridCol w:w="1417"/>
        <w:gridCol w:w="1559"/>
      </w:tblGrid>
      <w:tr w:rsidR="00426576" w:rsidRPr="00426576" w:rsidTr="00426576">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hAnsi="Arial" w:cs="Arial"/>
                <w:b/>
                <w:bCs/>
                <w:sz w:val="20"/>
                <w:szCs w:val="20"/>
              </w:rPr>
            </w:pPr>
            <w:r w:rsidRPr="00426576">
              <w:rPr>
                <w:rFonts w:ascii="Arial" w:hAnsi="Arial" w:cs="Arial"/>
                <w:b/>
                <w:bCs/>
                <w:sz w:val="20"/>
                <w:szCs w:val="20"/>
              </w:rPr>
              <w:t>Kol. 1</w:t>
            </w:r>
          </w:p>
        </w:tc>
        <w:tc>
          <w:tcPr>
            <w:tcW w:w="3969" w:type="dxa"/>
            <w:tcBorders>
              <w:top w:val="single" w:sz="4" w:space="0" w:color="auto"/>
              <w:left w:val="single" w:sz="4" w:space="0" w:color="auto"/>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Kol. 2</w:t>
            </w:r>
          </w:p>
        </w:tc>
        <w:tc>
          <w:tcPr>
            <w:tcW w:w="1276" w:type="dxa"/>
            <w:tcBorders>
              <w:top w:val="single" w:sz="4" w:space="0" w:color="auto"/>
              <w:left w:val="nil"/>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Kol. 3</w:t>
            </w:r>
          </w:p>
        </w:tc>
        <w:tc>
          <w:tcPr>
            <w:tcW w:w="1417" w:type="dxa"/>
            <w:tcBorders>
              <w:top w:val="single" w:sz="4" w:space="0" w:color="auto"/>
              <w:left w:val="nil"/>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 xml:space="preserve">Kol.4 </w:t>
            </w:r>
          </w:p>
        </w:tc>
        <w:tc>
          <w:tcPr>
            <w:tcW w:w="1559" w:type="dxa"/>
            <w:tcBorders>
              <w:top w:val="single" w:sz="4" w:space="0" w:color="auto"/>
              <w:left w:val="single" w:sz="4" w:space="0" w:color="auto"/>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Kol. 5</w:t>
            </w:r>
          </w:p>
        </w:tc>
      </w:tr>
      <w:tr w:rsidR="00426576" w:rsidRPr="00426576" w:rsidTr="00426576">
        <w:trPr>
          <w:cantSplit/>
          <w:trHeight w:val="544"/>
        </w:trPr>
        <w:tc>
          <w:tcPr>
            <w:tcW w:w="704" w:type="dxa"/>
            <w:tcBorders>
              <w:top w:val="single" w:sz="4" w:space="0" w:color="auto"/>
              <w:left w:val="single" w:sz="4" w:space="0" w:color="auto"/>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hAnsi="Arial" w:cs="Arial"/>
                <w:b/>
                <w:bCs/>
                <w:sz w:val="20"/>
                <w:szCs w:val="20"/>
              </w:rPr>
            </w:pPr>
            <w:r w:rsidRPr="00426576">
              <w:rPr>
                <w:rFonts w:ascii="Arial" w:hAnsi="Arial" w:cs="Arial"/>
                <w:b/>
                <w:bCs/>
                <w:sz w:val="20"/>
                <w:szCs w:val="20"/>
              </w:rPr>
              <w:t>Lp.</w:t>
            </w:r>
          </w:p>
        </w:tc>
        <w:tc>
          <w:tcPr>
            <w:tcW w:w="3969" w:type="dxa"/>
            <w:tcBorders>
              <w:top w:val="single" w:sz="4" w:space="0" w:color="auto"/>
              <w:left w:val="single" w:sz="4" w:space="0" w:color="auto"/>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hAnsi="Arial" w:cs="Arial"/>
                <w:b/>
                <w:bCs/>
                <w:sz w:val="20"/>
                <w:szCs w:val="20"/>
              </w:rPr>
            </w:pPr>
            <w:r w:rsidRPr="00426576">
              <w:rPr>
                <w:rFonts w:ascii="Arial" w:hAnsi="Arial" w:cs="Arial"/>
                <w:b/>
                <w:bCs/>
                <w:sz w:val="20"/>
                <w:szCs w:val="20"/>
              </w:rPr>
              <w:t>Nazwa sprzętu</w:t>
            </w:r>
          </w:p>
        </w:tc>
        <w:tc>
          <w:tcPr>
            <w:tcW w:w="1276" w:type="dxa"/>
            <w:tcBorders>
              <w:top w:val="single" w:sz="4" w:space="0" w:color="auto"/>
              <w:left w:val="nil"/>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Ilość łączna</w:t>
            </w:r>
          </w:p>
          <w:p w:rsidR="00426576" w:rsidRPr="00426576" w:rsidRDefault="00426576" w:rsidP="00913407">
            <w:pPr>
              <w:jc w:val="center"/>
              <w:rPr>
                <w:rFonts w:ascii="Arial" w:hAnsi="Arial" w:cs="Arial"/>
                <w:sz w:val="20"/>
                <w:szCs w:val="20"/>
              </w:rPr>
            </w:pPr>
            <w:r w:rsidRPr="00426576">
              <w:rPr>
                <w:rFonts w:ascii="Arial" w:eastAsia="Calibri" w:hAnsi="Arial" w:cs="Arial"/>
                <w:b/>
                <w:sz w:val="20"/>
                <w:szCs w:val="20"/>
              </w:rPr>
              <w:t>(kpl./lic)</w:t>
            </w:r>
          </w:p>
        </w:tc>
        <w:tc>
          <w:tcPr>
            <w:tcW w:w="1417" w:type="dxa"/>
            <w:tcBorders>
              <w:top w:val="single" w:sz="4" w:space="0" w:color="auto"/>
              <w:left w:val="nil"/>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Ilość</w:t>
            </w:r>
          </w:p>
          <w:p w:rsidR="00426576" w:rsidRPr="00426576" w:rsidRDefault="00426576" w:rsidP="00913407">
            <w:pPr>
              <w:jc w:val="center"/>
              <w:rPr>
                <w:rFonts w:ascii="Arial" w:eastAsia="Calibri" w:hAnsi="Arial" w:cs="Arial"/>
                <w:b/>
                <w:sz w:val="20"/>
                <w:szCs w:val="20"/>
              </w:rPr>
            </w:pPr>
            <w:r w:rsidRPr="00426576">
              <w:rPr>
                <w:rFonts w:ascii="Arial" w:eastAsia="Calibri" w:hAnsi="Arial" w:cs="Arial"/>
                <w:b/>
                <w:sz w:val="20"/>
                <w:szCs w:val="20"/>
              </w:rPr>
              <w:t>gwarantowana</w:t>
            </w:r>
          </w:p>
        </w:tc>
        <w:tc>
          <w:tcPr>
            <w:tcW w:w="1559" w:type="dxa"/>
            <w:tcBorders>
              <w:top w:val="single" w:sz="4" w:space="0" w:color="auto"/>
              <w:left w:val="single" w:sz="4" w:space="0" w:color="auto"/>
              <w:bottom w:val="single" w:sz="4" w:space="0" w:color="auto"/>
              <w:right w:val="single" w:sz="4" w:space="0" w:color="auto"/>
            </w:tcBorders>
            <w:shd w:val="clear" w:color="FFFFCC" w:fill="33CCFF"/>
            <w:vAlign w:val="center"/>
          </w:tcPr>
          <w:p w:rsidR="00426576" w:rsidRPr="00426576" w:rsidRDefault="00426576" w:rsidP="00913407">
            <w:pPr>
              <w:jc w:val="center"/>
              <w:rPr>
                <w:rFonts w:ascii="Arial" w:hAnsi="Arial" w:cs="Arial"/>
                <w:sz w:val="20"/>
                <w:szCs w:val="20"/>
              </w:rPr>
            </w:pPr>
            <w:r w:rsidRPr="00426576">
              <w:rPr>
                <w:rFonts w:ascii="Arial" w:eastAsia="Calibri" w:hAnsi="Arial" w:cs="Arial"/>
                <w:b/>
                <w:sz w:val="20"/>
                <w:szCs w:val="20"/>
              </w:rPr>
              <w:t>Ilość opcjonalna (prawo opcji)</w:t>
            </w:r>
          </w:p>
        </w:tc>
      </w:tr>
      <w:tr w:rsidR="00426576" w:rsidRPr="00426576" w:rsidTr="00913407">
        <w:trPr>
          <w:cantSplit/>
          <w:trHeight w:val="544"/>
        </w:trPr>
        <w:tc>
          <w:tcPr>
            <w:tcW w:w="704" w:type="dxa"/>
            <w:tcBorders>
              <w:top w:val="single" w:sz="4" w:space="0" w:color="auto"/>
              <w:left w:val="single" w:sz="4" w:space="0" w:color="auto"/>
              <w:bottom w:val="single" w:sz="4" w:space="0" w:color="auto"/>
              <w:right w:val="single" w:sz="4" w:space="0" w:color="auto"/>
            </w:tcBorders>
            <w:shd w:val="clear" w:color="FFFFCC" w:fill="FFFFFF" w:themeFill="background1"/>
            <w:vAlign w:val="center"/>
          </w:tcPr>
          <w:p w:rsidR="00426576" w:rsidRPr="00426576" w:rsidRDefault="00426576" w:rsidP="00913407">
            <w:pPr>
              <w:jc w:val="center"/>
              <w:rPr>
                <w:rFonts w:ascii="Arial" w:hAnsi="Arial" w:cs="Arial"/>
                <w:iCs/>
                <w:sz w:val="20"/>
                <w:szCs w:val="20"/>
              </w:rPr>
            </w:pPr>
            <w:r w:rsidRPr="00426576">
              <w:rPr>
                <w:rFonts w:ascii="Arial" w:hAnsi="Arial" w:cs="Arial"/>
                <w:iCs/>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FFFFCC" w:fill="FFFFFF" w:themeFill="background1"/>
            <w:vAlign w:val="center"/>
          </w:tcPr>
          <w:p w:rsidR="00426576" w:rsidRPr="00426576" w:rsidRDefault="00426576" w:rsidP="00913407">
            <w:pPr>
              <w:rPr>
                <w:rFonts w:ascii="Arial" w:hAnsi="Arial" w:cs="Arial"/>
                <w:iCs/>
                <w:sz w:val="20"/>
                <w:szCs w:val="20"/>
                <w:lang w:val="en-GB"/>
              </w:rPr>
            </w:pPr>
            <w:r w:rsidRPr="00426576">
              <w:rPr>
                <w:rFonts w:ascii="Arial" w:hAnsi="Arial" w:cs="Arial"/>
                <w:sz w:val="20"/>
                <w:szCs w:val="20"/>
              </w:rPr>
              <w:t xml:space="preserve">NOTEBOOK NB (bcG) </w:t>
            </w:r>
          </w:p>
        </w:tc>
        <w:tc>
          <w:tcPr>
            <w:tcW w:w="1276" w:type="dxa"/>
            <w:tcBorders>
              <w:top w:val="single" w:sz="4" w:space="0" w:color="auto"/>
              <w:left w:val="nil"/>
              <w:bottom w:val="single" w:sz="4" w:space="0" w:color="auto"/>
              <w:right w:val="single" w:sz="4" w:space="0" w:color="auto"/>
            </w:tcBorders>
            <w:shd w:val="clear" w:color="FFFFCC" w:fill="FFFFFF" w:themeFill="background1"/>
            <w:vAlign w:val="center"/>
          </w:tcPr>
          <w:p w:rsidR="00426576" w:rsidRPr="00426576" w:rsidRDefault="00426576" w:rsidP="00913407">
            <w:pPr>
              <w:jc w:val="center"/>
              <w:rPr>
                <w:rFonts w:ascii="Arial" w:hAnsi="Arial" w:cs="Arial"/>
                <w:sz w:val="20"/>
                <w:szCs w:val="20"/>
                <w:lang w:val="en-GB"/>
              </w:rPr>
            </w:pPr>
            <w:r w:rsidRPr="00426576">
              <w:rPr>
                <w:rFonts w:ascii="Arial" w:hAnsi="Arial" w:cs="Arial"/>
                <w:color w:val="000000"/>
                <w:sz w:val="20"/>
                <w:szCs w:val="20"/>
              </w:rPr>
              <w:t>368*</w:t>
            </w:r>
          </w:p>
        </w:tc>
        <w:tc>
          <w:tcPr>
            <w:tcW w:w="1417" w:type="dxa"/>
            <w:tcBorders>
              <w:top w:val="single" w:sz="4" w:space="0" w:color="auto"/>
              <w:left w:val="nil"/>
              <w:bottom w:val="single" w:sz="4" w:space="0" w:color="auto"/>
              <w:right w:val="single" w:sz="4" w:space="0" w:color="auto"/>
            </w:tcBorders>
            <w:shd w:val="clear" w:color="FFFFCC" w:fill="FFFFFF" w:themeFill="background1"/>
            <w:vAlign w:val="center"/>
          </w:tcPr>
          <w:p w:rsidR="00426576" w:rsidRPr="00426576" w:rsidRDefault="00426576" w:rsidP="00913407">
            <w:pPr>
              <w:jc w:val="center"/>
              <w:rPr>
                <w:rFonts w:ascii="Arial" w:hAnsi="Arial" w:cs="Arial"/>
                <w:sz w:val="20"/>
                <w:szCs w:val="20"/>
                <w:lang w:val="en-GB"/>
              </w:rPr>
            </w:pPr>
            <w:r w:rsidRPr="00426576">
              <w:rPr>
                <w:rFonts w:ascii="Arial" w:hAnsi="Arial" w:cs="Arial"/>
                <w:color w:val="000000"/>
                <w:sz w:val="20"/>
                <w:szCs w:val="20"/>
              </w:rPr>
              <w:t>218</w:t>
            </w:r>
          </w:p>
        </w:tc>
        <w:tc>
          <w:tcPr>
            <w:tcW w:w="1559" w:type="dxa"/>
            <w:tcBorders>
              <w:top w:val="single" w:sz="4" w:space="0" w:color="auto"/>
              <w:left w:val="single" w:sz="4" w:space="0" w:color="auto"/>
              <w:bottom w:val="single" w:sz="4" w:space="0" w:color="auto"/>
              <w:right w:val="single" w:sz="4" w:space="0" w:color="auto"/>
            </w:tcBorders>
            <w:shd w:val="clear" w:color="FFFFCC" w:fill="FFFFFF" w:themeFill="background1"/>
            <w:vAlign w:val="center"/>
          </w:tcPr>
          <w:p w:rsidR="00426576" w:rsidRPr="00426576" w:rsidRDefault="00426576" w:rsidP="00913407">
            <w:pPr>
              <w:jc w:val="center"/>
              <w:rPr>
                <w:rFonts w:ascii="Arial" w:hAnsi="Arial" w:cs="Arial"/>
                <w:sz w:val="20"/>
                <w:szCs w:val="20"/>
                <w:lang w:val="en-GB"/>
              </w:rPr>
            </w:pPr>
            <w:r w:rsidRPr="00426576">
              <w:rPr>
                <w:rFonts w:ascii="Arial" w:hAnsi="Arial" w:cs="Arial"/>
                <w:color w:val="000000"/>
                <w:sz w:val="20"/>
                <w:szCs w:val="20"/>
              </w:rPr>
              <w:t>150</w:t>
            </w:r>
          </w:p>
        </w:tc>
      </w:tr>
    </w:tbl>
    <w:p w:rsidR="00426576" w:rsidRPr="00426576" w:rsidRDefault="00426576" w:rsidP="00426576">
      <w:pPr>
        <w:jc w:val="both"/>
        <w:rPr>
          <w:rFonts w:ascii="Arial" w:eastAsia="Droid Sans Fallback" w:hAnsi="Arial" w:cs="Arial"/>
          <w:sz w:val="20"/>
          <w:szCs w:val="20"/>
          <w:lang w:eastAsia="zh-CN" w:bidi="hi-IN"/>
        </w:rPr>
      </w:pPr>
      <w:r w:rsidRPr="00426576">
        <w:rPr>
          <w:rFonts w:ascii="Arial" w:eastAsia="Droid Sans Fallback" w:hAnsi="Arial" w:cs="Arial"/>
          <w:sz w:val="20"/>
          <w:szCs w:val="20"/>
          <w:lang w:eastAsia="zh-CN" w:bidi="hi-IN"/>
        </w:rPr>
        <w:t>Kol. 3 – Ilość łączna – maksymalna przewidywana ilość wyposażenia teleinformatycznego zarówno ilość gwarantowana oraz ilość opcjonalna (praw opcji).</w:t>
      </w:r>
    </w:p>
    <w:p w:rsidR="00426576" w:rsidRPr="00426576" w:rsidRDefault="00426576" w:rsidP="00426576">
      <w:pPr>
        <w:jc w:val="both"/>
        <w:rPr>
          <w:rFonts w:ascii="Arial" w:eastAsia="Droid Sans Fallback" w:hAnsi="Arial" w:cs="Arial"/>
          <w:sz w:val="20"/>
          <w:szCs w:val="20"/>
          <w:lang w:eastAsia="zh-CN" w:bidi="hi-IN"/>
        </w:rPr>
      </w:pPr>
      <w:r w:rsidRPr="00426576">
        <w:rPr>
          <w:rFonts w:ascii="Arial" w:eastAsia="Droid Sans Fallback" w:hAnsi="Arial" w:cs="Arial"/>
          <w:sz w:val="20"/>
          <w:szCs w:val="20"/>
          <w:lang w:eastAsia="zh-CN" w:bidi="hi-IN"/>
        </w:rPr>
        <w:t>Kol. 4 – Ilość gwarantowana – ilość gwarantowana przez Zamawiającego w okresie obowiązywania umowy.</w:t>
      </w:r>
    </w:p>
    <w:p w:rsidR="00426576" w:rsidRPr="00426576" w:rsidRDefault="00426576" w:rsidP="00426576">
      <w:pPr>
        <w:jc w:val="both"/>
        <w:rPr>
          <w:rFonts w:ascii="Arial" w:eastAsia="Droid Sans Fallback" w:hAnsi="Arial" w:cs="Arial"/>
          <w:sz w:val="20"/>
          <w:szCs w:val="20"/>
          <w:lang w:eastAsia="zh-CN" w:bidi="hi-IN"/>
        </w:rPr>
      </w:pPr>
      <w:r w:rsidRPr="00426576">
        <w:rPr>
          <w:rFonts w:ascii="Arial" w:eastAsia="Droid Sans Fallback" w:hAnsi="Arial" w:cs="Arial"/>
          <w:sz w:val="20"/>
          <w:szCs w:val="20"/>
          <w:lang w:eastAsia="zh-CN" w:bidi="hi-IN"/>
        </w:rPr>
        <w:t>Kol. 5 – Ilość opcjonalna – ilość wyposażenia zamawianego opcjonalnie przez Zamawiającego w okresie obowiązywania umowy.</w:t>
      </w:r>
    </w:p>
    <w:p w:rsidR="00426576" w:rsidRPr="00426576" w:rsidRDefault="00426576" w:rsidP="00426576">
      <w:pPr>
        <w:jc w:val="both"/>
        <w:rPr>
          <w:rFonts w:ascii="Arial" w:eastAsia="Droid Sans Fallback" w:hAnsi="Arial" w:cs="Arial"/>
          <w:sz w:val="20"/>
          <w:szCs w:val="20"/>
          <w:lang w:eastAsia="zh-CN" w:bidi="hi-IN"/>
        </w:rPr>
      </w:pPr>
    </w:p>
    <w:p w:rsidR="00426576" w:rsidRPr="00426576" w:rsidRDefault="00426576" w:rsidP="00426576">
      <w:pPr>
        <w:jc w:val="both"/>
        <w:rPr>
          <w:rFonts w:ascii="Arial" w:eastAsia="Droid Sans Fallback" w:hAnsi="Arial" w:cs="Arial"/>
          <w:sz w:val="18"/>
          <w:szCs w:val="18"/>
          <w:lang w:eastAsia="zh-CN" w:bidi="hi-IN"/>
        </w:rPr>
      </w:pPr>
      <w:r w:rsidRPr="00426576">
        <w:rPr>
          <w:rFonts w:ascii="Arial" w:eastAsia="Droid Sans Fallback" w:hAnsi="Arial" w:cs="Arial"/>
          <w:sz w:val="18"/>
          <w:szCs w:val="18"/>
          <w:lang w:eastAsia="zh-CN" w:bidi="hi-IN"/>
        </w:rPr>
        <w:t>*) Przedstawiona ilość wyposażenia teleinformatycznego stanowi maksymalny zakres zamówienia. Zamawiający gwarantuje Wykonawcy realizację w okresie obowiązywania umowy dostawę wyposażenia teleinformatycznego w ilości wskazanej w kolumnie nr 4 poniżej tabeli (ilość gwarantowana). Natomiast zlecenie dostawy pozostałej ilości wyposażenia teleinformatycznego wskazanej w kolumnie nr 5 powyższej tabeli zależy tylko od decyzji Zamawiającego (prawo opcji). Niewykorzystanie limitu prawa opcji w całości przez Zamawiającego nie uprawnia Wykonawcy do żadnych świadczeń ze strony Zamawiającego.</w:t>
      </w:r>
    </w:p>
    <w:p w:rsidR="00426576" w:rsidRPr="00426576" w:rsidRDefault="00426576" w:rsidP="00426576">
      <w:pPr>
        <w:jc w:val="both"/>
        <w:rPr>
          <w:rFonts w:ascii="Arial" w:eastAsia="Droid Sans Fallback" w:hAnsi="Arial" w:cs="Arial"/>
          <w:sz w:val="18"/>
          <w:szCs w:val="18"/>
          <w:lang w:eastAsia="zh-CN" w:bidi="hi-IN"/>
        </w:rPr>
      </w:pPr>
      <w:r w:rsidRPr="00426576">
        <w:rPr>
          <w:rFonts w:ascii="Arial" w:eastAsia="Droid Sans Fallback" w:hAnsi="Arial" w:cs="Arial"/>
          <w:sz w:val="18"/>
          <w:szCs w:val="18"/>
          <w:lang w:eastAsia="zh-CN" w:bidi="hi-IN"/>
        </w:rPr>
        <w:t>Prawo opcji jest uprawnieniem Zamawiającego, z którego może, ale nie musi skorzystać w ramach realizacji niniejszego zamówienia. W przypadku nieskorzystania przez Zamawiającego z prawa opcji Wykonawcy nie przysługują żadne roszczenia z tego tytułu. Warunkiem uruchomienia prawa opcji jest oświadczenie woli Zamawiającego o żądaniu wykonania zamówienia kwalifikowanego przez Zamawiającego jako prawo opcji.</w:t>
      </w:r>
    </w:p>
    <w:p w:rsidR="00426576" w:rsidRPr="00426576" w:rsidRDefault="00426576" w:rsidP="00426576">
      <w:pPr>
        <w:jc w:val="both"/>
        <w:rPr>
          <w:rFonts w:ascii="Arial" w:eastAsia="Droid Sans Fallback" w:hAnsi="Arial" w:cs="Arial"/>
          <w:sz w:val="20"/>
          <w:szCs w:val="20"/>
          <w:lang w:eastAsia="zh-CN" w:bidi="hi-IN"/>
        </w:rPr>
      </w:pPr>
    </w:p>
    <w:p w:rsidR="00426576" w:rsidRPr="00426576" w:rsidRDefault="00426576" w:rsidP="00426576">
      <w:pPr>
        <w:jc w:val="both"/>
        <w:rPr>
          <w:rFonts w:ascii="Arial" w:hAnsi="Arial" w:cs="Arial"/>
          <w:sz w:val="20"/>
          <w:szCs w:val="20"/>
        </w:rPr>
      </w:pPr>
    </w:p>
    <w:p w:rsidR="00426576" w:rsidRPr="00426576" w:rsidRDefault="00426576" w:rsidP="00426576">
      <w:pPr>
        <w:pStyle w:val="Nagwek1"/>
        <w:numPr>
          <w:ilvl w:val="0"/>
          <w:numId w:val="1"/>
        </w:numPr>
        <w:rPr>
          <w:rFonts w:ascii="Arial" w:hAnsi="Arial" w:cs="Arial"/>
          <w:sz w:val="20"/>
          <w:szCs w:val="20"/>
        </w:rPr>
      </w:pPr>
      <w:bookmarkStart w:id="2" w:name="_Toc193871803"/>
      <w:r w:rsidRPr="00426576">
        <w:rPr>
          <w:rFonts w:ascii="Arial" w:hAnsi="Arial" w:cs="Arial"/>
          <w:sz w:val="20"/>
          <w:szCs w:val="20"/>
        </w:rPr>
        <w:t>Specyfikacja sprzętu NOTEBOOK NB (bcG)</w:t>
      </w:r>
      <w:bookmarkEnd w:id="2"/>
    </w:p>
    <w:p w:rsidR="00426576" w:rsidRPr="00426576" w:rsidRDefault="00426576" w:rsidP="00426576">
      <w:pPr>
        <w:pStyle w:val="Default"/>
        <w:jc w:val="both"/>
        <w:rPr>
          <w:sz w:val="20"/>
          <w:szCs w:val="20"/>
        </w:rPr>
      </w:pPr>
      <w:r w:rsidRPr="00426576">
        <w:rPr>
          <w:sz w:val="20"/>
          <w:szCs w:val="20"/>
        </w:rPr>
        <w:lastRenderedPageBreak/>
        <w:t xml:space="preserve">Sprzęt musi obligatoryjnie spełniać zapisy: </w:t>
      </w:r>
      <w:r w:rsidRPr="00426576">
        <w:rPr>
          <w:b/>
          <w:bCs/>
          <w:i/>
          <w:iCs/>
          <w:sz w:val="20"/>
          <w:szCs w:val="20"/>
        </w:rPr>
        <w:t xml:space="preserve">WYKAZU OBOWIĄZUJĄCYCH STANDARDÓW SPRZĘTU INFORMATYKI I OPROGRAMOWANIA DO STOSOWANIA W RESORCIE OBRONY NARODOWEJ Wersja 16.00 Data wersji: 15 stycznia 2025 r. (zwanym dalej: „Wykaz”) w rozdziale 1.2 Warunki zawierania umowy. </w:t>
      </w:r>
    </w:p>
    <w:p w:rsidR="00426576" w:rsidRPr="00426576" w:rsidRDefault="00426576" w:rsidP="00426576">
      <w:pPr>
        <w:pStyle w:val="Default"/>
        <w:jc w:val="both"/>
        <w:rPr>
          <w:sz w:val="20"/>
          <w:szCs w:val="20"/>
        </w:rPr>
      </w:pPr>
    </w:p>
    <w:p w:rsidR="00426576" w:rsidRPr="00426576" w:rsidRDefault="00426576" w:rsidP="00426576">
      <w:pPr>
        <w:pStyle w:val="Default"/>
        <w:jc w:val="both"/>
        <w:rPr>
          <w:sz w:val="20"/>
          <w:szCs w:val="20"/>
        </w:rPr>
      </w:pPr>
      <w:r w:rsidRPr="00426576">
        <w:rPr>
          <w:sz w:val="20"/>
          <w:szCs w:val="20"/>
        </w:rPr>
        <w:t xml:space="preserve">Sprzęt musi posiadać parametry spełniające wszystkie wymagania minimalne zgodnie z pozycja 2.3.5 Wykazu: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spacing w:line="360" w:lineRule="auto"/>
        <w:ind w:left="993" w:hanging="709"/>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3.1.</w:t>
      </w:r>
      <w:r w:rsidRPr="00426576">
        <w:rPr>
          <w:rFonts w:ascii="Arial" w:eastAsia="Droid Sans Fallback" w:hAnsi="Arial" w:cs="Arial"/>
          <w:b/>
          <w:sz w:val="20"/>
          <w:szCs w:val="20"/>
          <w:lang w:eastAsia="zh-CN" w:bidi="hi-IN"/>
        </w:rPr>
        <w:tab/>
        <w:t>Typ</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Komputer przenośny typu notebook z ekranem o przekątnej z przedziału od 15" do 16" o rozdzielczości min. 1920x1080 px z podświetleniem LED i powłoką przeciwodblaskową, jasność 220 nitów, kontrast 500:1 rozmiar plamki: max. 0,18 mm. Kąt otwarcia matrycy do 180 stopni.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 ofercie wymagane jest podanie producenta, modelu oraz symbolu. </w:t>
      </w:r>
    </w:p>
    <w:p w:rsidR="00426576" w:rsidRPr="00426576" w:rsidRDefault="00426576" w:rsidP="00426576">
      <w:pPr>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Wymagane jest jawne wyspecyfikowanie w ofercie użytych podzespołów tj.: płyty głównej, procesora, pamięci (RAM, dysków twardych i innych zainstalowanych nośników danych), zasilacza, kart sieciowych, poprzez podanie typu oraz nazwy handlowej (oznaczenie i kod producenta). Dla dysków twardych wymagane jest podanie rodzaju, typu i pojemności. </w:t>
      </w:r>
    </w:p>
    <w:p w:rsidR="00426576" w:rsidRPr="00426576" w:rsidRDefault="00426576" w:rsidP="00426576">
      <w:pPr>
        <w:jc w:val="both"/>
        <w:rPr>
          <w:rFonts w:ascii="Arial" w:eastAsiaTheme="minorHAnsi" w:hAnsi="Arial" w:cs="Arial"/>
          <w:color w:val="000000"/>
          <w:sz w:val="20"/>
          <w:szCs w:val="20"/>
          <w:lang w:eastAsia="en-US"/>
        </w:rPr>
      </w:pPr>
    </w:p>
    <w:p w:rsidR="00426576" w:rsidRPr="00426576" w:rsidRDefault="00426576" w:rsidP="00426576">
      <w:pPr>
        <w:jc w:val="both"/>
        <w:rPr>
          <w:rFonts w:ascii="Arial" w:eastAsiaTheme="minorHAnsi" w:hAnsi="Arial" w:cs="Arial"/>
          <w:color w:val="000000"/>
          <w:sz w:val="20"/>
          <w:szCs w:val="20"/>
          <w:lang w:eastAsia="en-US"/>
        </w:rPr>
      </w:pPr>
    </w:p>
    <w:p w:rsidR="00426576" w:rsidRPr="00426576" w:rsidRDefault="00426576" w:rsidP="00426576">
      <w:pPr>
        <w:jc w:val="both"/>
        <w:rPr>
          <w:rFonts w:ascii="Arial" w:eastAsiaTheme="minorHAnsi" w:hAnsi="Arial" w:cs="Arial"/>
          <w:color w:val="000000"/>
          <w:sz w:val="20"/>
          <w:szCs w:val="20"/>
          <w:lang w:eastAsia="en-US"/>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Procesor</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Architektura zgodna z x86, wielordzeniowy, wykonany w technologii mobilnej, osiągający w teście </w:t>
      </w:r>
      <w:r w:rsidRPr="00426576">
        <w:rPr>
          <w:rFonts w:ascii="Arial" w:eastAsiaTheme="minorHAnsi" w:hAnsi="Arial" w:cs="Arial"/>
          <w:b/>
          <w:bCs/>
          <w:color w:val="000000"/>
          <w:sz w:val="20"/>
          <w:szCs w:val="20"/>
          <w:lang w:eastAsia="en-US"/>
        </w:rPr>
        <w:t xml:space="preserve">MobileMark 25 DC Performance wynik co najmniej 1000 pkt. </w:t>
      </w:r>
      <w:r w:rsidRPr="00426576">
        <w:rPr>
          <w:rFonts w:ascii="Arial" w:eastAsiaTheme="minorHAnsi" w:hAnsi="Arial" w:cs="Arial"/>
          <w:color w:val="000000"/>
          <w:sz w:val="20"/>
          <w:szCs w:val="20"/>
          <w:lang w:eastAsia="en-US"/>
        </w:rPr>
        <w:t xml:space="preserve">oraz </w:t>
      </w:r>
      <w:r w:rsidRPr="00426576">
        <w:rPr>
          <w:rFonts w:ascii="Arial" w:eastAsiaTheme="minorHAnsi" w:hAnsi="Arial" w:cs="Arial"/>
          <w:b/>
          <w:bCs/>
          <w:color w:val="000000"/>
          <w:sz w:val="20"/>
          <w:szCs w:val="20"/>
          <w:lang w:eastAsia="en-US"/>
        </w:rPr>
        <w:t xml:space="preserve">Battery Life nie niższy niż 400 minut </w:t>
      </w:r>
      <w:r w:rsidRPr="00426576">
        <w:rPr>
          <w:rFonts w:ascii="Arial" w:eastAsiaTheme="minorHAnsi" w:hAnsi="Arial" w:cs="Arial"/>
          <w:color w:val="000000"/>
          <w:sz w:val="20"/>
          <w:szCs w:val="20"/>
          <w:lang w:eastAsia="en-US"/>
        </w:rPr>
        <w:t xml:space="preserve">(przy natywnej rozdzielczości wyświetlacza i włączonych wszystkich zainstalowanych urządzeniach).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Potwierdzeniem spełnienia tego wymogu będzie wydruk z przeprowadzonych testów potwierdzający, że procesor w oferowanej konfiguracji komputera osiągnął wymagany wynik. Testy powinny być potwierdzone przez przedstawiciela producenta komputera w Polsce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Testy dla oferowanego modelu notebooka w oferowanej konfiguracji muszą być opublikowane i ogólnie dostępne na stronie https://results.bapco.com/results/benchmark/MobileMark_25 najpóźniej w dniu składania ofert - Wykonawca złoży dokument potwierdzający spełnianie wymogu. tj. wydruk z ww. strony internetowej potwierdzający. że oferowany model notebooka w oferowanej konfiguracji umożliwia osiągniecie powyższego wyniku.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Pamięć RAM</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b) 32 GB</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 obsadzie dwukanałowej. Nie dopuszcza się pamięci wlutowanych w płytę główną. </w:t>
      </w:r>
    </w:p>
    <w:p w:rsidR="00426576" w:rsidRPr="00426576" w:rsidRDefault="00426576" w:rsidP="00426576">
      <w:pPr>
        <w:autoSpaceDE w:val="0"/>
        <w:autoSpaceDN w:val="0"/>
        <w:adjustRightInd w:val="0"/>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Dyski twarde</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c) 1 TB SSD M.2 NVME PCIe; </w:t>
      </w:r>
    </w:p>
    <w:p w:rsidR="00426576" w:rsidRPr="00426576" w:rsidRDefault="00426576" w:rsidP="00426576">
      <w:pPr>
        <w:pStyle w:val="Akapitzlist"/>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Karta graficzna</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Grafika musi osiągać w teście Passmark G3D Mark minimum 8000 punktów, minimum 2 GB własnej (niewspółdzielonej pamięci RAM). </w:t>
      </w:r>
    </w:p>
    <w:p w:rsidR="00426576" w:rsidRPr="00426576" w:rsidRDefault="00426576" w:rsidP="00426576">
      <w:pPr>
        <w:rPr>
          <w:rFonts w:ascii="Arial" w:eastAsia="Droid Sans Fallback" w:hAnsi="Arial" w:cs="Arial"/>
          <w:b/>
          <w:sz w:val="20"/>
          <w:szCs w:val="20"/>
          <w:lang w:eastAsia="zh-CN" w:bidi="hi-IN"/>
        </w:rPr>
      </w:pPr>
      <w:r w:rsidRPr="00426576">
        <w:rPr>
          <w:rFonts w:ascii="Arial" w:eastAsiaTheme="minorHAnsi" w:hAnsi="Arial" w:cs="Arial"/>
          <w:color w:val="000000"/>
          <w:sz w:val="20"/>
          <w:szCs w:val="20"/>
          <w:lang w:eastAsia="en-US"/>
        </w:rPr>
        <w:t xml:space="preserve">Karta graficzna musi znajdować się na stronie: http://www.videocardbenchmark.net/gpu_list.php.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Multimedia</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Karta dźwiękowa zgodna z HD Audio, wbudowane głośniki.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Bateria i zasilacz</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Szybko ładowalna do poziomu 80% w czasie 1 godziny i do poziomu 100% w czasie 2 godzin.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Funkcje BIOS</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BIOS zgodny ze specyfikacją UEFI pełna obsługa BIOS za pomocą klawiatury i myszy lub touchpada. Możliwość, bez uruchamiania systemu operacyjnego z dysku twardego komputera lub innych, podłączonych do niego urządzeń zewnętrznych odczytania z BIOS (nieedytowalnych z poziomu BIOS) bieżących informacji o: </w:t>
      </w:r>
    </w:p>
    <w:p w:rsidR="00426576" w:rsidRPr="00426576" w:rsidRDefault="00426576" w:rsidP="00426576">
      <w:pPr>
        <w:pStyle w:val="Akapitzlist"/>
        <w:numPr>
          <w:ilvl w:val="0"/>
          <w:numId w:val="2"/>
        </w:num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wersji BIOS; </w:t>
      </w:r>
    </w:p>
    <w:p w:rsidR="00426576" w:rsidRPr="00426576" w:rsidRDefault="00426576" w:rsidP="00426576">
      <w:pPr>
        <w:pStyle w:val="Akapitzlist"/>
        <w:numPr>
          <w:ilvl w:val="0"/>
          <w:numId w:val="2"/>
        </w:num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nr. seryjnego komputera wraz z datą jego wyprodukowania; </w:t>
      </w:r>
    </w:p>
    <w:p w:rsidR="00426576" w:rsidRPr="00426576" w:rsidRDefault="00426576" w:rsidP="00426576">
      <w:pPr>
        <w:pStyle w:val="Akapitzlist"/>
        <w:numPr>
          <w:ilvl w:val="0"/>
          <w:numId w:val="2"/>
        </w:num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typie procesora wraz z informacją o ilości rdzeni, wielkości pamięci cache L2 i L3; </w:t>
      </w:r>
    </w:p>
    <w:p w:rsidR="00426576" w:rsidRPr="00426576" w:rsidRDefault="00426576" w:rsidP="00426576">
      <w:pPr>
        <w:pStyle w:val="Akapitzlist"/>
        <w:numPr>
          <w:ilvl w:val="0"/>
          <w:numId w:val="2"/>
        </w:num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zainstalowanym dysku twardym – pojemność; </w:t>
      </w:r>
    </w:p>
    <w:p w:rsidR="00426576" w:rsidRPr="00426576" w:rsidRDefault="00426576" w:rsidP="00426576">
      <w:pPr>
        <w:pStyle w:val="Akapitzlist"/>
        <w:numPr>
          <w:ilvl w:val="0"/>
          <w:numId w:val="2"/>
        </w:num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MAC adresie zintegrowanej karty sieciowej; </w:t>
      </w:r>
    </w:p>
    <w:p w:rsidR="00426576" w:rsidRPr="00426576" w:rsidRDefault="00426576" w:rsidP="00426576">
      <w:pPr>
        <w:pStyle w:val="Akapitzlist"/>
        <w:numPr>
          <w:ilvl w:val="0"/>
          <w:numId w:val="2"/>
        </w:num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lastRenderedPageBreak/>
        <w:t xml:space="preserve">zintegrowanej grafice.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blokowania/odblokowania bootowania notebooka z zewnętrznych urządzeń. Funkcja blokowania/odblokowania bootowania notebooka z USB.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Możliwość włączenia/wyłączenia funkcjonalności Wake On LAN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Możliwość ustawienia hasła administratora oraz hasła dysku twardego na poziomie systemu oraz możliwość ustawienia następujących zależności pomiędzy nimi: brak możliwości zmiany hasła pozwalającego na uruchomienie systemu bez podania hasła administratora.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Możliwość ustawienia hasła użytkownika i/lub administratora składającego się z dużych liter, małych liter, cyfr, znaków specjalnych.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wymuszenia odpowiedniej siły hasła dla administratora oraz użytkownika (możliwość wymuszenia długość hasła do 32 znaków). </w:t>
      </w:r>
    </w:p>
    <w:p w:rsidR="00426576" w:rsidRPr="00426576" w:rsidRDefault="00426576" w:rsidP="00426576">
      <w:pPr>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Wszystkie opcje dostępne bez uruchamiania systemu operacyjnego z dysku twardego komputera lub innych, podłączonych do niego urządzeń zewnętrznych.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wyłączenia/włączenia: zintegrowanej karty sieciowej, portów USB, czytnika kart multimedialnych, mikrofonu, kamery, systemu Intel TurboBoost (jeżeli obsługiwana przez procesor), modułów: WLAN i Bluetooth z poziomu BIOS, bez uruchamiania systemu operacyjnego z dysku twardego komputera lub innych, podłączonych do niego, urządzeń zewnętrznych.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włączenia/wyłączenia funkcjonalności Wake On LAN. Funkcja włączenia/wyłączenia hasła dla dysku twardego.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przypisania bezpośrednio w BIOS (bez konieczności wykorzystania dodatkowego oprogramowania), numeru nadawanego przez Administratora/Użytkownika oraz możliwość weryfikacji tego numeru w oprogramowaniu diagnostyczno-zarządzającym producenta komputera. Pole numeru inwentarzowego po nadaniu nie może być edytowalne w BIOS, a numer nadany przez Administratora/Użytkownika nie może ulegać skasowaniu po aktualizacji BIOS.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Funkcja umożliwiająca dokonywania backupu BIOS wraz z ustawieniami na dysku wewnętrznym lub na urządzeniu zewnętrznym lub automatycznego i autonomicznego systemu tzw „self healing BIOS” umożliwiającego tworzenie automatycznych backupów BIOS w pamięci nieulotnej komputera.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Aktualizacja BIOS za pomocą strony internetowej producenta w oparciu o najnowsze, aktualne wersje BIOS – </w:t>
      </w:r>
      <w:r w:rsidRPr="00426576">
        <w:rPr>
          <w:rFonts w:ascii="Arial" w:eastAsiaTheme="minorHAnsi" w:hAnsi="Arial" w:cs="Arial"/>
          <w:b/>
          <w:bCs/>
          <w:color w:val="000000"/>
          <w:sz w:val="20"/>
          <w:szCs w:val="20"/>
          <w:lang w:eastAsia="en-US"/>
        </w:rPr>
        <w:t xml:space="preserve">wymagany link strony internetowej producenta aktualizacji BIOS.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System diagnostyczny z graficznym interfejsem (pełna obsługa za pomocą klawiatury oraz urządzenia wskazującego i myszy) dostępny w BIOS z pozycji szybkiego menu bootowania, bez potrzeby uruchamiania systemu operacyjnego, dostępny nawet bez dysku twardego umożliwiający przetestowanie w celu wykrycia usterki składowych i komponentów oferowanego notebooka (co najmniej testy: magistrali PCIe, panelu LCD, dysku twardego, klawiatury, pamięci RAM). </w:t>
      </w:r>
    </w:p>
    <w:p w:rsidR="00426576" w:rsidRPr="00426576" w:rsidRDefault="00426576" w:rsidP="00426576">
      <w:pPr>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System działający nawet w przypadku braku dysku twardego lub w przypadku jego uszkodzenia, bez wykorzystania zewnętrznych nośników pamięci masowej oraz dostępu do sieci lokalnej i Internetu, pozwalający na uzyskanie wyżej wymienionych funkcjonalności (w tym interfejsu graficznego) a w szczególności na przetestowanie: procesora i pamięci.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Dokumenty certyfikaty i standardy:</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Certyfikat ISO 9001 dla producenta notebooka obejmujący proces projektowania i produkcji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Certyfikat ISO 14001 dla producenta notebooka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Deklaracja zgodności CE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Urządzenia wyprodukowane są przez producenta, zgodnie z normą PN-EN ISO 50001 - </w:t>
      </w:r>
      <w:r w:rsidRPr="00426576">
        <w:rPr>
          <w:rFonts w:ascii="Arial" w:eastAsiaTheme="minorHAnsi" w:hAnsi="Arial" w:cs="Arial"/>
          <w:b/>
          <w:bCs/>
          <w:color w:val="000000"/>
          <w:sz w:val="20"/>
          <w:szCs w:val="20"/>
          <w:lang w:eastAsia="en-US"/>
        </w:rPr>
        <w:t>Wykonawca złoży dokument potwierdzający spełnianie wymogu,</w:t>
      </w:r>
      <w:r w:rsidRPr="00426576">
        <w:rPr>
          <w:rFonts w:ascii="Arial" w:eastAsiaTheme="minorHAnsi" w:hAnsi="Arial" w:cs="Arial"/>
          <w:color w:val="000000"/>
          <w:sz w:val="20"/>
          <w:szCs w:val="20"/>
          <w:lang w:eastAsia="en-US"/>
        </w:rPr>
        <w:t xml:space="preserve">.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Epeat Silver według normy wprowadzonej w 2019 roku - </w:t>
      </w:r>
      <w:r w:rsidRPr="00426576">
        <w:rPr>
          <w:rFonts w:ascii="Arial" w:eastAsiaTheme="minorHAnsi" w:hAnsi="Arial" w:cs="Arial"/>
          <w:b/>
          <w:bCs/>
          <w:color w:val="000000"/>
          <w:sz w:val="20"/>
          <w:szCs w:val="20"/>
          <w:lang w:eastAsia="en-US"/>
        </w:rPr>
        <w:t xml:space="preserve">Wykonawca złoży dokument potwierdzający spełnianie wymogu. Dopuszczalne jest złożenie dokumentu równoważnego, zgodnego z wymaganiami określonymi w punkcie 7.2 Wykazu.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lastRenderedPageBreak/>
        <w:t>Wykonawca dostarczy oświadczenie Producenta, iż oferowany notebook spełnia normy MIL-STD-810H</w:t>
      </w:r>
      <w:r w:rsidRPr="00426576">
        <w:rPr>
          <w:rFonts w:ascii="Arial" w:eastAsiaTheme="minorHAnsi" w:hAnsi="Arial" w:cs="Arial"/>
          <w:b/>
          <w:bCs/>
          <w:color w:val="000000"/>
          <w:sz w:val="20"/>
          <w:szCs w:val="20"/>
          <w:lang w:eastAsia="en-US"/>
        </w:rPr>
        <w:t xml:space="preserve">.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dla płyty głównej oraz elementów wykonanych z tworzyw sztucznych o masie powyżej 25 g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Oferowane modele notebooków muszą poprawnie współpracować z zamawianymi systemami operacyjnymi - jako potwierdzenie poprawnej współpracy Wykonawca przedstawi dokument w postaci wydruku potwierdzający certyfikację, dodatkowo potwierdzony przez producenta oferowanego notebooka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2"/>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Notebook musi spełniać wymogi TCO, potwierdzeniem spełnienia wymogu będzie publikacja na stronie: http://tcocertified.com/product-finder/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3"/>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Wykonawca dołączy do oferty link do strony internetowej producenta notebooka zawierającej dokumentację techniczną która w czytelny sposób przedstawia opis oraz metodologię i schematy wymiany poszczególnych komponentów notebooka, co najmniej: dysk twardy, pamięć RAM, bateria oraz karty rozszerzeń. </w:t>
      </w:r>
    </w:p>
    <w:p w:rsidR="00426576" w:rsidRPr="00426576" w:rsidRDefault="00426576" w:rsidP="00426576">
      <w:pPr>
        <w:pStyle w:val="Akapitzlist"/>
        <w:numPr>
          <w:ilvl w:val="0"/>
          <w:numId w:val="3"/>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Oświadczenie producenta </w:t>
      </w:r>
      <w:r w:rsidRPr="00426576">
        <w:rPr>
          <w:rFonts w:ascii="Arial" w:eastAsiaTheme="minorHAnsi" w:hAnsi="Arial" w:cs="Arial"/>
          <w:b/>
          <w:bCs/>
          <w:color w:val="000000"/>
          <w:sz w:val="20"/>
          <w:szCs w:val="20"/>
          <w:lang w:eastAsia="en-US"/>
        </w:rPr>
        <w:t xml:space="preserve">notebooków potwierdzające, że sprzęt pochodzi z oficjalnego kanału dystrybucyjnego producenta. </w:t>
      </w:r>
    </w:p>
    <w:p w:rsidR="00426576" w:rsidRPr="00426576" w:rsidRDefault="00426576" w:rsidP="00426576">
      <w:pPr>
        <w:pStyle w:val="Akapitzlist"/>
        <w:numPr>
          <w:ilvl w:val="0"/>
          <w:numId w:val="3"/>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Do oferty powinna zostać załączona karta katalogowa(datasheet) w języku polskim, dla urządzenia (rodziny urządzeń), w wersji papierowej/elektronicznej.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Ergonomia</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Głośność jednostki centralnej w oferowanej konfiguracji mierzona zgodnie z normą ISO 7779 oraz wykazana zgodnie z normą ISO 9296 w pozycji operatora w trybie jałowym (IDLE), wynoszącą maksymalnie 24 dB - </w:t>
      </w:r>
      <w:r w:rsidRPr="00426576">
        <w:rPr>
          <w:rFonts w:ascii="Arial" w:eastAsiaTheme="minorHAnsi" w:hAnsi="Arial" w:cs="Arial"/>
          <w:b/>
          <w:bCs/>
          <w:i/>
          <w:iCs/>
          <w:color w:val="000000"/>
          <w:sz w:val="20"/>
          <w:szCs w:val="20"/>
          <w:lang w:eastAsia="en-US"/>
        </w:rPr>
        <w:t xml:space="preserve">Wykonawca złoży </w:t>
      </w:r>
      <w:r w:rsidRPr="00426576">
        <w:rPr>
          <w:rFonts w:ascii="Arial" w:eastAsiaTheme="minorHAnsi" w:hAnsi="Arial" w:cs="Arial"/>
          <w:b/>
          <w:bCs/>
          <w:color w:val="000000"/>
          <w:sz w:val="20"/>
          <w:szCs w:val="20"/>
          <w:lang w:eastAsia="en-US"/>
        </w:rPr>
        <w:t xml:space="preserve">oświadczenie producenta wraz z raportem badawczym wystawionym przez niezależną akredytowaną jednostkę w zakresie ISO 7779.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Waga i wymiary</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Waga max 2,75 kg.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Bezpieczeństwo</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Komputer musi posiadać ukryty w laminacie płyty aktywny układ zgodny ze standardem Trusted Platform Module (TPM v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Zabezpieczenie to musi posiadać możliwość szyfrowania poufnych dokumentów, przechowywanych na dysku twardym, przy użyciu klucza sprzętowego.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Weryfikacja wygenerowanych przez komputer kluczy szyfrowania musi odbywać się w dedykowanym chipsecie na płycie głównej.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Wbudowany czytnik linii papilarnych.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Złącze typu security lock.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Warunki gwarancji</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Min. 36 miesięcy.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Gwarancja producenta świadczona na miejscu u klienta.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Czas reakcji serwisu - do końca następnego dnia roboczego od chwili zgłoszenia.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Firma serwisująca musi posiadać ISO 9001 na świadczenie usług serwisowych oraz posiadać autoryzacje producenta notebooka – </w:t>
      </w:r>
      <w:r w:rsidRPr="00426576">
        <w:rPr>
          <w:rFonts w:ascii="Arial" w:eastAsiaTheme="minorHAnsi" w:hAnsi="Arial" w:cs="Arial"/>
          <w:b/>
          <w:bCs/>
          <w:color w:val="000000"/>
          <w:sz w:val="20"/>
          <w:szCs w:val="20"/>
          <w:lang w:eastAsia="en-US"/>
        </w:rPr>
        <w:t xml:space="preserve">Wykonawca złoży dokument potwierdzający spełnianie wymogu.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Serwis urządzeń musi być realizowany przez producenta lub Autoryzowanego Partnera Serwisowego producenta – </w:t>
      </w:r>
      <w:r w:rsidRPr="00426576">
        <w:rPr>
          <w:rFonts w:ascii="Arial" w:eastAsiaTheme="minorHAnsi" w:hAnsi="Arial" w:cs="Arial"/>
          <w:b/>
          <w:bCs/>
          <w:color w:val="000000"/>
          <w:sz w:val="20"/>
          <w:szCs w:val="20"/>
          <w:lang w:eastAsia="en-US"/>
        </w:rPr>
        <w:t>Wykonawca złoży oświadczenie producenta potwierdzające, że serwis będzie realizowany przez Autoryzowanego Partnera Serwisowego producenta lub bezpośrednio przez producenta</w:t>
      </w:r>
      <w:r w:rsidRPr="00426576">
        <w:rPr>
          <w:rFonts w:ascii="Arial" w:eastAsiaTheme="minorHAnsi" w:hAnsi="Arial" w:cs="Arial"/>
          <w:color w:val="000000"/>
          <w:sz w:val="20"/>
          <w:szCs w:val="20"/>
          <w:lang w:eastAsia="en-US"/>
        </w:rPr>
        <w:t xml:space="preserve">.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 przypadku awarii dysków twardych dysk pozostaje u Zamawiającego – </w:t>
      </w:r>
      <w:r w:rsidRPr="00426576">
        <w:rPr>
          <w:rFonts w:ascii="Arial" w:eastAsiaTheme="minorHAnsi" w:hAnsi="Arial" w:cs="Arial"/>
          <w:b/>
          <w:bCs/>
          <w:color w:val="000000"/>
          <w:sz w:val="20"/>
          <w:szCs w:val="20"/>
          <w:lang w:eastAsia="en-US"/>
        </w:rPr>
        <w:t xml:space="preserve">Wykonawca złoży oświadczenia producenta potwierdzające spełnienie tego warunku </w:t>
      </w:r>
    </w:p>
    <w:p w:rsidR="00426576" w:rsidRPr="00426576" w:rsidRDefault="00426576" w:rsidP="00426576">
      <w:pPr>
        <w:pStyle w:val="Akapitzlist"/>
        <w:numPr>
          <w:ilvl w:val="0"/>
          <w:numId w:val="4"/>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Oświadczenie producenta notebooka, że w przypadku niewywiązywania się z obowiązków gwarancyjnych Oferenta lub firmy serwisującej, przejmie na siebie wszelkie zobowiązania związane z serwisem - </w:t>
      </w:r>
      <w:r w:rsidRPr="00426576">
        <w:rPr>
          <w:rFonts w:ascii="Arial" w:eastAsiaTheme="minorHAnsi" w:hAnsi="Arial" w:cs="Arial"/>
          <w:b/>
          <w:bCs/>
          <w:color w:val="000000"/>
          <w:sz w:val="20"/>
          <w:szCs w:val="20"/>
          <w:lang w:eastAsia="en-US"/>
        </w:rPr>
        <w:t xml:space="preserve">Wykonawca złoży oświadczenie Producenta. </w:t>
      </w: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lastRenderedPageBreak/>
        <w:t>Wymagana gwarancja na baterię</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Na baterię wymaga się 12 miesięcznej gwarancji Producenta.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Wsparcie techniczne producenta</w:t>
      </w:r>
    </w:p>
    <w:p w:rsidR="00426576" w:rsidRPr="00426576" w:rsidRDefault="00426576" w:rsidP="00426576">
      <w:pPr>
        <w:autoSpaceDE w:val="0"/>
        <w:autoSpaceDN w:val="0"/>
        <w:adjustRightInd w:val="0"/>
        <w:jc w:val="both"/>
        <w:rPr>
          <w:rFonts w:ascii="Arial" w:eastAsiaTheme="minorHAnsi" w:hAnsi="Arial" w:cs="Arial"/>
          <w:sz w:val="20"/>
          <w:szCs w:val="20"/>
          <w:lang w:eastAsia="en-US"/>
        </w:rPr>
      </w:pPr>
    </w:p>
    <w:p w:rsidR="00426576" w:rsidRPr="00426576" w:rsidRDefault="00426576" w:rsidP="00426576">
      <w:pPr>
        <w:pStyle w:val="Akapitzlist"/>
        <w:numPr>
          <w:ilvl w:val="0"/>
          <w:numId w:val="5"/>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Możliwość sprawdzenia telefonicznego bezpośrednio u producenta oraz na stronie internetowej producenta oferowanego notebooka, po podaniu numeru seryjnego - konfiguracji sprzętowej notebooka oraz warunków gwarancji. </w:t>
      </w:r>
    </w:p>
    <w:p w:rsidR="00426576" w:rsidRPr="00426576" w:rsidRDefault="00426576" w:rsidP="00426576">
      <w:pPr>
        <w:pStyle w:val="Akapitzlist"/>
        <w:numPr>
          <w:ilvl w:val="0"/>
          <w:numId w:val="5"/>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Dostęp do najnowszych sterowników i uaktualnień na stronie producenta notebooka, realizowany poprzez podanie na stronie internetowej producenta numeru seryjnego lub modelu notebooka – </w:t>
      </w:r>
      <w:r w:rsidRPr="00426576">
        <w:rPr>
          <w:rFonts w:ascii="Arial" w:eastAsiaTheme="minorHAnsi" w:hAnsi="Arial" w:cs="Arial"/>
          <w:b/>
          <w:bCs/>
          <w:color w:val="000000"/>
          <w:sz w:val="20"/>
          <w:szCs w:val="20"/>
          <w:lang w:eastAsia="en-US"/>
        </w:rPr>
        <w:t xml:space="preserve">do oferty należy dołączyć link strony.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Wymagania dodatkowe</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Wbudowane porty, złącza i czytniki: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- 1 x HDMI;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nie mniej niż 2 x USB 3.2 typ A;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min. 1 x USB TYP C lub 1 x Thunderbolt4 z DisplayPort;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karta sieciowa 10/100/1000 RJ-45, zintegrowana z płytą główną, wspierająca obsługę WOL (funkcja włączana przez użytkownika), PXE;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współdzielone lub oddzielne złącze słuchawkowe stereo i złącze mikrofonowe;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Wbudowane urządzenia: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czytnik kart multimedialnych;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kamera panoramiczna HD720p z możliwością fizycznego włączenia/wyłączenia dedykowanym przyciskiem bądź fizycznego zasłonięcia/odsłonięcia w sposób uniemożliwiający przypadkową(nieautoryzowaną) rejestrację obrazu. Dopuszczalne są również rozwiązania akcesoryjne, nieograniczające pozostałych funkcjonalności urządzenia;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mikrofon z funkcjami redukcji szumów i poprawy mowy;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karta sieciowa bezprzewodowa WLAN 802.11 ac;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napęd optyczny 8x DVD+/-RW, wewnętrzny lub zewnętrzny na USB;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wbudowany moduł Bluetooth 5.0; </w:t>
      </w:r>
    </w:p>
    <w:p w:rsidR="00426576" w:rsidRPr="00426576" w:rsidRDefault="00426576" w:rsidP="00426576">
      <w:pPr>
        <w:pStyle w:val="Default"/>
        <w:jc w:val="both"/>
        <w:rPr>
          <w:color w:val="auto"/>
          <w:sz w:val="20"/>
          <w:szCs w:val="20"/>
        </w:rPr>
      </w:pPr>
      <w:r w:rsidRPr="00426576">
        <w:rPr>
          <w:sz w:val="20"/>
          <w:szCs w:val="20"/>
        </w:rPr>
        <w:t xml:space="preserve">- klawiatura z powłoką odporną na zalanie cieczą, podświetlenie z możliwością regulacji (układ US-QWERTY), min. 99 klawiszy;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touchpad z strefą przewijania w pionie i w poziomie wraz z obsługą gestów.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Oprogramowanie OEM</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System operacyjny 64-bit, zgodny z wymogami </w:t>
      </w:r>
      <w:r w:rsidRPr="00426576">
        <w:rPr>
          <w:rFonts w:ascii="Arial" w:eastAsiaTheme="minorHAnsi" w:hAnsi="Arial" w:cs="Arial"/>
          <w:b/>
          <w:bCs/>
          <w:i/>
          <w:iCs/>
          <w:color w:val="000000"/>
          <w:sz w:val="20"/>
          <w:szCs w:val="20"/>
          <w:lang w:eastAsia="en-US"/>
        </w:rPr>
        <w:t>Wykazu, w rozdziale 7.1.1 System operacyjny dla stacji roboczych, stacji graficznych i notebooków w wersji PL</w:t>
      </w:r>
      <w:r w:rsidRPr="00426576">
        <w:rPr>
          <w:rFonts w:ascii="Arial" w:eastAsiaTheme="minorHAnsi" w:hAnsi="Arial" w:cs="Arial"/>
          <w:color w:val="000000"/>
          <w:sz w:val="20"/>
          <w:szCs w:val="20"/>
          <w:lang w:eastAsia="en-US"/>
        </w:rPr>
        <w:t xml:space="preserve">, niewymagający podawania klucza licencyjnego podczas instalacji. Klucz zaszyty trwale w BIOS na etapie produkcji komputera i automatycznie pobierany przez instalowane oprogramowanie.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Komplet sterowników.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Komplet sterowników umożliwiający instalację systemu operacyjnego w wersji min. Windows 11 za pomocą Microsoft Endpoint Configuration Manager w wersji co najmniej 2010 lub nowszego oraz sterowniki obsługujące kartę sieciową i dostęp do dysku w środowisku co najmniej Windows PE for Windows 10 lub nowszym.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Oprogramowanie dostarczone przez producenta komputera pozwalające na zdalną inwentaryzację komputerów w sieci, lokalną i zdalną inwentaryzację komponentów komputera, umożliwiające co najmniej: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zdalne zablokowanie portów USB;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zdalne uaktualnianie BIOS zarówno na pojedynczym komputerze, a także na grupie komputerów w tym samym czasie;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zdalną konfigurację BIOS w czasie rzeczywistym w tym, co najmniej ustawienie hasła, wpisanie unikalnego numeru nadanego przez użytkownika, sekwencji startowej, włączenia/wyłączenia portów USB, włączenia/wyłączenia karty dźwiękowej;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zdalne wyłączanie oraz restart komputera w sieci;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otrzymywanie informacji WMI – Windows Management Interface;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monitorowanie stanu komponentów: CPU, pamięć RAM, dysk twardy, wersje BIOS;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p>
    <w:p w:rsidR="00426576" w:rsidRPr="00426576" w:rsidRDefault="00426576" w:rsidP="00426576">
      <w:pPr>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Powyżej opisane oprogramowanie musi być wyprodukowane przez jednego producenta, oferowane oprogramowanie ma w pełni integrować się z oprogramowaniem MECM. </w:t>
      </w:r>
    </w:p>
    <w:p w:rsidR="00426576" w:rsidRPr="00426576" w:rsidRDefault="00426576" w:rsidP="00426576">
      <w:pPr>
        <w:spacing w:line="360" w:lineRule="auto"/>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Ukompletowanie</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lastRenderedPageBreak/>
        <w:t xml:space="preserve">Podkładka materiałowa pod mysz (max 260 x 220 mm, powierzchnia robocza z tkaniny, spód antypoślizgowy z gumy).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Zasilacz o mocy nie mniejszej niż 65W.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Kabel zasilający z końcówką odpowiednią do posiadanego przez urządzenie gniazda zasilania, umożlwiający zasilanie z sieci 230V. (jeśli nie jest zintegrowany z zasilaczem).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Kabel komunikacyjny RJ-45–RJ-45 kat. 6 o długości minimum 3 metry.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Instrukcja instalacji, użytkowania i obsługi (w formie papierowej lub elektronicznej).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Karta gwarancyjna (w formie papierowej lub elektronicznej). </w:t>
      </w:r>
    </w:p>
    <w:p w:rsidR="00426576" w:rsidRPr="00426576" w:rsidRDefault="00426576" w:rsidP="00426576">
      <w:pPr>
        <w:jc w:val="both"/>
        <w:rPr>
          <w:rFonts w:ascii="Arial" w:eastAsia="Droid Sans Fallback" w:hAnsi="Arial" w:cs="Arial"/>
          <w:b/>
          <w:sz w:val="20"/>
          <w:szCs w:val="20"/>
          <w:lang w:eastAsia="zh-CN" w:bidi="hi-IN"/>
        </w:rPr>
      </w:pPr>
    </w:p>
    <w:p w:rsidR="00426576" w:rsidRPr="00426576" w:rsidRDefault="00426576" w:rsidP="00426576">
      <w:pPr>
        <w:pStyle w:val="Akapitzlist"/>
        <w:numPr>
          <w:ilvl w:val="1"/>
          <w:numId w:val="1"/>
        </w:numPr>
        <w:spacing w:line="360" w:lineRule="auto"/>
        <w:jc w:val="both"/>
        <w:rPr>
          <w:rFonts w:ascii="Arial" w:eastAsia="Droid Sans Fallback" w:hAnsi="Arial" w:cs="Arial"/>
          <w:b/>
          <w:sz w:val="20"/>
          <w:szCs w:val="20"/>
          <w:lang w:eastAsia="zh-CN" w:bidi="hi-IN"/>
        </w:rPr>
      </w:pPr>
      <w:r w:rsidRPr="00426576">
        <w:rPr>
          <w:rFonts w:ascii="Arial" w:eastAsia="Droid Sans Fallback" w:hAnsi="Arial" w:cs="Arial"/>
          <w:b/>
          <w:sz w:val="20"/>
          <w:szCs w:val="20"/>
          <w:lang w:eastAsia="zh-CN" w:bidi="hi-IN"/>
        </w:rPr>
        <w:t>Wyposażenie</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Mysz optyczna, 2-przyciskowa, z rolką, dedykowana do pracy z notebookiem.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Torba transportowa, dwukomorowa. </w:t>
      </w:r>
    </w:p>
    <w:p w:rsidR="00426576" w:rsidRPr="00426576" w:rsidRDefault="00426576" w:rsidP="00426576">
      <w:pPr>
        <w:pStyle w:val="Akapitzlist"/>
        <w:numPr>
          <w:ilvl w:val="0"/>
          <w:numId w:val="6"/>
        </w:numPr>
        <w:autoSpaceDE w:val="0"/>
        <w:autoSpaceDN w:val="0"/>
        <w:adjustRightInd w:val="0"/>
        <w:ind w:left="426"/>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Napęd optyczny 8 x DVD+/-RW zewnętrzny na USB (jeśli nie występuje jako wbudowany).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Jeśli powyższe wyposażenie: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 </w:t>
      </w:r>
    </w:p>
    <w:p w:rsidR="00426576" w:rsidRPr="00426576" w:rsidRDefault="00426576" w:rsidP="00426576">
      <w:pPr>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nie jest wyszczególniane w Karcie Sprzętu dla danego urządzenia. </w:t>
      </w:r>
    </w:p>
    <w:p w:rsidR="00426576" w:rsidRPr="00426576" w:rsidRDefault="00426576" w:rsidP="00426576">
      <w:pPr>
        <w:jc w:val="both"/>
        <w:rPr>
          <w:rFonts w:ascii="Arial" w:eastAsiaTheme="minorHAnsi" w:hAnsi="Arial" w:cs="Arial"/>
          <w:color w:val="000000"/>
          <w:sz w:val="20"/>
          <w:szCs w:val="20"/>
          <w:lang w:eastAsia="en-US"/>
        </w:rPr>
      </w:pPr>
    </w:p>
    <w:p w:rsidR="00426576" w:rsidRPr="00426576" w:rsidRDefault="00426576" w:rsidP="00426576">
      <w:pPr>
        <w:pStyle w:val="Nagwek1"/>
        <w:numPr>
          <w:ilvl w:val="0"/>
          <w:numId w:val="1"/>
        </w:numPr>
        <w:rPr>
          <w:rFonts w:ascii="Arial" w:hAnsi="Arial" w:cs="Arial"/>
          <w:sz w:val="20"/>
          <w:szCs w:val="20"/>
        </w:rPr>
      </w:pPr>
      <w:r w:rsidRPr="00426576">
        <w:rPr>
          <w:rFonts w:ascii="Arial" w:hAnsi="Arial" w:cs="Arial"/>
          <w:sz w:val="20"/>
          <w:szCs w:val="20"/>
        </w:rPr>
        <w:t>Szczegółowe warunki</w:t>
      </w:r>
    </w:p>
    <w:p w:rsidR="00426576" w:rsidRPr="00426576" w:rsidRDefault="00426576" w:rsidP="00426576">
      <w:pPr>
        <w:autoSpaceDE w:val="0"/>
        <w:autoSpaceDN w:val="0"/>
        <w:adjustRightInd w:val="0"/>
        <w:rPr>
          <w:rFonts w:ascii="Arial" w:eastAsiaTheme="minorHAnsi" w:hAnsi="Arial" w:cs="Arial"/>
          <w:b/>
          <w:bCs/>
          <w:color w:val="000000"/>
          <w:sz w:val="20"/>
          <w:szCs w:val="20"/>
          <w:lang w:eastAsia="en-US"/>
        </w:rPr>
      </w:pPr>
      <w:bookmarkStart w:id="3" w:name="_GoBack"/>
      <w:bookmarkEnd w:id="3"/>
      <w:r w:rsidRPr="00426576">
        <w:rPr>
          <w:rFonts w:ascii="Arial" w:eastAsiaTheme="minorHAnsi" w:hAnsi="Arial" w:cs="Arial"/>
          <w:b/>
          <w:bCs/>
          <w:color w:val="000000"/>
          <w:sz w:val="20"/>
          <w:szCs w:val="20"/>
          <w:lang w:eastAsia="en-US"/>
        </w:rPr>
        <w:t>4.1.</w:t>
      </w:r>
      <w:r w:rsidRPr="00426576">
        <w:rPr>
          <w:rFonts w:ascii="Arial" w:eastAsiaTheme="minorHAnsi" w:hAnsi="Arial" w:cs="Arial"/>
          <w:b/>
          <w:bCs/>
          <w:color w:val="000000"/>
          <w:sz w:val="20"/>
          <w:szCs w:val="20"/>
          <w:lang w:eastAsia="en-US"/>
        </w:rPr>
        <w:tab/>
        <w:t xml:space="preserve">Warunki techniczne </w:t>
      </w:r>
    </w:p>
    <w:p w:rsidR="00426576" w:rsidRPr="00426576" w:rsidRDefault="00426576" w:rsidP="00426576">
      <w:pPr>
        <w:autoSpaceDE w:val="0"/>
        <w:autoSpaceDN w:val="0"/>
        <w:adjustRightInd w:val="0"/>
        <w:rPr>
          <w:rFonts w:ascii="Arial" w:eastAsiaTheme="minorHAnsi" w:hAnsi="Arial" w:cs="Arial"/>
          <w:color w:val="000000"/>
          <w:sz w:val="20"/>
          <w:szCs w:val="20"/>
          <w:lang w:eastAsia="en-US"/>
        </w:rPr>
      </w:pP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 </w:t>
      </w:r>
      <w:r w:rsidRPr="00426576">
        <w:rPr>
          <w:rFonts w:ascii="Arial" w:eastAsiaTheme="minorHAnsi" w:hAnsi="Arial" w:cs="Arial"/>
          <w:color w:val="000000"/>
          <w:sz w:val="20"/>
          <w:szCs w:val="20"/>
          <w:lang w:eastAsia="en-US"/>
        </w:rPr>
        <w:t xml:space="preserve">Zamawiający (wg własnego uznania) zastrzega sobie prawo do przetestowania planowanego do pozyskania/pozyskanego sprzętu informatyki w czasie i miejscu wskazanym przez Zamawiającego, celem weryfikacji spełnienia minimalnych wymogów technicznych na dowolnym etapie realizacji umowy (w tym również na etapie oceny ofert), odpowiednio: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a) na etapie oceny ofert – każdy Oferent dostarcza planowany do dostawy egzemplarz testowy sprzętu,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b) na etapie realizacji umowy: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w przypadku zmiany asortymentu dostawy – Wykonawca dostarcza egzemplarz testowy zamiennika sprzętu planowanego do dostawy (z uwzględnieniem pkt 2), </w:t>
      </w:r>
    </w:p>
    <w:p w:rsidR="00426576" w:rsidRPr="00426576" w:rsidRDefault="00426576" w:rsidP="00426576">
      <w:pPr>
        <w:autoSpaceDE w:val="0"/>
        <w:autoSpaceDN w:val="0"/>
        <w:adjustRightInd w:val="0"/>
        <w:spacing w:after="35"/>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w:t>
      </w:r>
      <w:r w:rsidRPr="00426576">
        <w:rPr>
          <w:rFonts w:ascii="Arial" w:eastAsiaTheme="minorHAnsi" w:hAnsi="Arial" w:cs="Arial"/>
          <w:color w:val="000000"/>
          <w:sz w:val="20"/>
          <w:szCs w:val="20"/>
          <w:lang w:eastAsia="en-US"/>
        </w:rPr>
        <w:t xml:space="preserve">w trakcie dostawy - Wykonawca dostarcza egzemplarz testowy przedmiotu umowy,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 po dostawie – Zamawiający we własnym zakresie wybiera egzemplarz testowy spośród dostarczonych zasobów sprzętowych.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 </w:t>
      </w:r>
      <w:r w:rsidRPr="00426576">
        <w:rPr>
          <w:rFonts w:ascii="Arial" w:eastAsiaTheme="minorHAnsi" w:hAnsi="Arial" w:cs="Arial"/>
          <w:color w:val="000000"/>
          <w:sz w:val="20"/>
          <w:szCs w:val="20"/>
          <w:lang w:eastAsia="en-US"/>
        </w:rPr>
        <w:t xml:space="preserve">W przypadku zmiany asortymentu sprzętu informatyki po podpisaniu (w trakcie obowiązywania) umowy testy realizowane są obligatoryjnie.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3. </w:t>
      </w:r>
      <w:r w:rsidRPr="00426576">
        <w:rPr>
          <w:rFonts w:ascii="Arial" w:eastAsiaTheme="minorHAnsi" w:hAnsi="Arial" w:cs="Arial"/>
          <w:color w:val="000000"/>
          <w:sz w:val="20"/>
          <w:szCs w:val="20"/>
          <w:lang w:eastAsia="en-US"/>
        </w:rPr>
        <w:t xml:space="preserve">Przedmiotowe testy zostaną przeprowadzone zgodnie z metodyką przedstawioną w Wykazie.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4. </w:t>
      </w:r>
      <w:r w:rsidRPr="00426576">
        <w:rPr>
          <w:rFonts w:ascii="Arial" w:eastAsiaTheme="minorHAnsi" w:hAnsi="Arial" w:cs="Arial"/>
          <w:color w:val="000000"/>
          <w:sz w:val="20"/>
          <w:szCs w:val="20"/>
          <w:lang w:eastAsia="en-US"/>
        </w:rPr>
        <w:t>W przypadku zaistnienia potrzeby przetestowania oferowanego sprzętu, Wykonawca dostarczy egzemplarze testowe oferowanego sprzętu wraz z ofertą (jako próbki), lub po otwarciu ofert, w czasie i miejscu wskazanym przez Zamawiającego, celem weryfikacji spełnienia minimalnych wymogów technicznych. Przedmiotowe testy zostaną przeprowadzone zgodnie z metodyką opisaną w Wykazie.</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5. </w:t>
      </w:r>
      <w:r w:rsidRPr="00426576">
        <w:rPr>
          <w:rFonts w:ascii="Arial" w:eastAsiaTheme="minorHAnsi" w:hAnsi="Arial" w:cs="Arial"/>
          <w:color w:val="000000"/>
          <w:sz w:val="20"/>
          <w:szCs w:val="20"/>
          <w:lang w:eastAsia="en-US"/>
        </w:rPr>
        <w:t xml:space="preserve">Wymagane jest zachowanie pełnej zgodności modeli komponentów zainstalowanych w dostarczanych urządzeniach z zadeklarowanymi w ofercie/umowie.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a) Każda zmiana komponentów wewnętrznych dostarczanego sprzętu w stosunku do treści oferty/umowy powinna zostać uzgodniona z DKWOC, pod rygorem uznania ich za wadę fizyczną przedmiotu oferty/umowy.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b) Przedstawiciele DKWOC są uprawnieni do weryfikacji zgodności modeli zainstalowanych komponentów w urządzeniach w ramach oceny ofert oraz na każdym etapie realizacji umowy, w tym także po zrealizowanej dostawie.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c) W przypadku zaoferowania sprzętu zamiennego, uprawdopodobnienie jego zgodności z przedmiotem oferty/umowy spoczywa w całości na Wykonawcy.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d) Rolę arbitralną w przypadku wystąpienia wątpliwości interpretacyjnych pełnią eksperci DKWOC.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6. </w:t>
      </w:r>
      <w:r w:rsidRPr="00426576">
        <w:rPr>
          <w:rFonts w:ascii="Arial" w:eastAsiaTheme="minorHAnsi" w:hAnsi="Arial" w:cs="Arial"/>
          <w:color w:val="000000"/>
          <w:sz w:val="20"/>
          <w:szCs w:val="20"/>
          <w:lang w:eastAsia="en-US"/>
        </w:rPr>
        <w:t xml:space="preserve">Dostarczone wyroby (nowe, z uwzględnieniem aktualnych technologii, pierwszej kategorii, nie starsze niż 9 miesięcy licząc od dnia dostawy) muszą spełniać wymagania jakościowe potwierdzone przez producenta w systemie pełnego zapewnienia jakości, stosowanego podczas projektowania, produkcji, badań i końcowej kontroli wyrobów.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7. </w:t>
      </w:r>
      <w:r w:rsidRPr="00426576">
        <w:rPr>
          <w:rFonts w:ascii="Arial" w:eastAsiaTheme="minorHAnsi" w:hAnsi="Arial" w:cs="Arial"/>
          <w:color w:val="000000"/>
          <w:sz w:val="20"/>
          <w:szCs w:val="20"/>
          <w:lang w:eastAsia="en-US"/>
        </w:rPr>
        <w:t xml:space="preserve">Wszystkie wymagane testy wydajności i głośności mają dotyczyć sprzętu w oferowanej konfiguracji. Pozostałe wymagane certyfikaty mogą dotyczyć oferowanej platformy sprzętowej.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lastRenderedPageBreak/>
        <w:t xml:space="preserve">8. </w:t>
      </w:r>
      <w:r w:rsidRPr="00426576">
        <w:rPr>
          <w:rFonts w:ascii="Arial" w:eastAsiaTheme="minorHAnsi" w:hAnsi="Arial" w:cs="Arial"/>
          <w:color w:val="000000"/>
          <w:sz w:val="20"/>
          <w:szCs w:val="20"/>
          <w:lang w:eastAsia="en-US"/>
        </w:rPr>
        <w:t xml:space="preserve">Wykonawca dostarczy do każdego egzemplarza sprzętu kartę gwarancyjną oraz instrukcje w języku polskim – instalacji, użytkowania i obsługi (zwane dalej – </w:t>
      </w:r>
      <w:r w:rsidRPr="00426576">
        <w:rPr>
          <w:rFonts w:ascii="Arial" w:eastAsiaTheme="minorHAnsi" w:hAnsi="Arial" w:cs="Arial"/>
          <w:i/>
          <w:iCs/>
          <w:color w:val="000000"/>
          <w:sz w:val="20"/>
          <w:szCs w:val="20"/>
          <w:lang w:eastAsia="en-US"/>
        </w:rPr>
        <w:t>„dokumentacją użytkownika”</w:t>
      </w:r>
      <w:r w:rsidRPr="00426576">
        <w:rPr>
          <w:rFonts w:ascii="Arial" w:eastAsiaTheme="minorHAnsi" w:hAnsi="Arial" w:cs="Arial"/>
          <w:color w:val="000000"/>
          <w:sz w:val="20"/>
          <w:szCs w:val="20"/>
          <w:lang w:eastAsia="en-US"/>
        </w:rPr>
        <w:t xml:space="preserve">), z wyłączeniem zakupów realizowanych poza granicami kraju (w formie papierowej lub elektronicznej).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9. </w:t>
      </w:r>
      <w:r w:rsidRPr="00426576">
        <w:rPr>
          <w:rFonts w:ascii="Arial" w:eastAsiaTheme="minorHAnsi" w:hAnsi="Arial" w:cs="Arial"/>
          <w:color w:val="000000"/>
          <w:sz w:val="20"/>
          <w:szCs w:val="20"/>
          <w:lang w:eastAsia="en-US"/>
        </w:rPr>
        <w:t xml:space="preserve">Wykonawca dostarczy do każdego egzemplarza sprzętu Kartę Sprzętu, zgodną z wzorem określonym w punkcie 9.1. Wykazu, zawierającą pełną listę podzespołów, wyposażenia i oprogramowania wraz z ich ilością, wchodzącego w skład ukompletowania tego sprzętu oraz i dokładną nazwą typu/modelu.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10. </w:t>
      </w:r>
      <w:r w:rsidRPr="00426576">
        <w:rPr>
          <w:rFonts w:ascii="Arial" w:eastAsiaTheme="minorHAnsi" w:hAnsi="Arial" w:cs="Arial"/>
          <w:color w:val="000000"/>
          <w:sz w:val="20"/>
          <w:szCs w:val="20"/>
          <w:lang w:eastAsia="en-US"/>
        </w:rPr>
        <w:t xml:space="preserve">Wykonawca sporządzi Kartę Sprzętu według wzoru określonego w punkcie 9.1. niniejszego dokumentu, dostarczonego jako załącznik do umowy.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11. </w:t>
      </w:r>
      <w:r w:rsidRPr="00426576">
        <w:rPr>
          <w:rFonts w:ascii="Arial" w:eastAsiaTheme="minorHAnsi" w:hAnsi="Arial" w:cs="Arial"/>
          <w:color w:val="000000"/>
          <w:sz w:val="20"/>
          <w:szCs w:val="20"/>
          <w:lang w:eastAsia="en-US"/>
        </w:rPr>
        <w:t xml:space="preserve">Wykonawca nie później niż 10 dni po podpisaniu umowy zobowiązany jest do opracowania i przesłania w formie elektronicznej do Zamawiającego oraz do Odbiorcy, Karty Wyrobu sporządzonej według wzoru załączonego do umowy. Należy sporządzić jedną Kartę Wyrobu na każdy rodzaj asortymentu i jego wyposażenia zawarty w umowie.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12. </w:t>
      </w:r>
      <w:r w:rsidRPr="00426576">
        <w:rPr>
          <w:rFonts w:ascii="Arial" w:eastAsiaTheme="minorHAnsi" w:hAnsi="Arial" w:cs="Arial"/>
          <w:color w:val="000000"/>
          <w:sz w:val="20"/>
          <w:szCs w:val="20"/>
          <w:lang w:eastAsia="en-US"/>
        </w:rPr>
        <w:t xml:space="preserve">Wykonawca w Karcie Sprzętu poda: rodzaj, typ i pojemność wszystkich informatycznych nośników danych – rodzaju pamięci zainstalowanych na stałe (np. flash - 8 GB).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13. </w:t>
      </w:r>
      <w:r w:rsidRPr="00426576">
        <w:rPr>
          <w:rFonts w:ascii="Arial" w:eastAsiaTheme="minorHAnsi" w:hAnsi="Arial" w:cs="Arial"/>
          <w:color w:val="000000"/>
          <w:sz w:val="20"/>
          <w:szCs w:val="20"/>
          <w:lang w:eastAsia="en-US"/>
        </w:rPr>
        <w:t xml:space="preserve">Wykonawca w dodatkowym dokumencie producenta sprzętu lub instrukcji, o której mowa w punkcie 4, wskaże lokalizację wszystkich informatycznych nośników danych. Określi również: sposób ich montażu, jakie dane są przechowywane na nośniku (pliki serwera wydruków, dokumenty skanowane, inne dane - podać rodzaj danych) oraz określi, jak przeprowadzić odtwarzanie systemu w przypadku konieczności usunięcia informacji z dysków. </w:t>
      </w:r>
    </w:p>
    <w:p w:rsidR="00426576" w:rsidRPr="00426576" w:rsidRDefault="00426576" w:rsidP="00426576">
      <w:pPr>
        <w:autoSpaceDE w:val="0"/>
        <w:autoSpaceDN w:val="0"/>
        <w:adjustRightInd w:val="0"/>
        <w:spacing w:after="2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14. </w:t>
      </w:r>
      <w:r w:rsidRPr="00426576">
        <w:rPr>
          <w:rFonts w:ascii="Arial" w:eastAsiaTheme="minorHAnsi" w:hAnsi="Arial" w:cs="Arial"/>
          <w:color w:val="000000"/>
          <w:sz w:val="20"/>
          <w:szCs w:val="20"/>
          <w:lang w:eastAsia="en-US"/>
        </w:rPr>
        <w:t xml:space="preserve">Przy zakupie oprogramowania konieczne jest wskazanie formy dostawy oprogramowania (nośnik, zasób sieciowy, oprogramowanie wchodzące w skład sprzętu). </w:t>
      </w:r>
    </w:p>
    <w:p w:rsidR="00426576" w:rsidRPr="00426576" w:rsidRDefault="00426576" w:rsidP="00426576">
      <w:pPr>
        <w:autoSpaceDE w:val="0"/>
        <w:autoSpaceDN w:val="0"/>
        <w:adjustRightInd w:val="0"/>
        <w:jc w:val="both"/>
        <w:rPr>
          <w:rFonts w:ascii="Arial" w:eastAsiaTheme="minorHAnsi" w:hAnsi="Arial" w:cs="Arial"/>
          <w:b/>
          <w:bCs/>
          <w:color w:val="000000"/>
          <w:sz w:val="20"/>
          <w:szCs w:val="20"/>
          <w:lang w:eastAsia="en-US"/>
        </w:rPr>
      </w:pPr>
    </w:p>
    <w:p w:rsidR="00426576" w:rsidRPr="00426576" w:rsidRDefault="00426576" w:rsidP="00426576">
      <w:pPr>
        <w:autoSpaceDE w:val="0"/>
        <w:autoSpaceDN w:val="0"/>
        <w:adjustRightInd w:val="0"/>
        <w:jc w:val="both"/>
        <w:rPr>
          <w:rFonts w:ascii="Arial" w:eastAsiaTheme="minorHAnsi" w:hAnsi="Arial" w:cs="Arial"/>
          <w:b/>
          <w:bCs/>
          <w:color w:val="000000"/>
          <w:sz w:val="20"/>
          <w:szCs w:val="20"/>
          <w:lang w:eastAsia="en-US"/>
        </w:rPr>
      </w:pPr>
      <w:r w:rsidRPr="00426576">
        <w:rPr>
          <w:rFonts w:ascii="Arial" w:eastAsiaTheme="minorHAnsi" w:hAnsi="Arial" w:cs="Arial"/>
          <w:b/>
          <w:bCs/>
          <w:color w:val="000000"/>
          <w:sz w:val="20"/>
          <w:szCs w:val="20"/>
          <w:lang w:eastAsia="en-US"/>
        </w:rPr>
        <w:t>4.2.</w:t>
      </w:r>
      <w:r w:rsidRPr="00426576">
        <w:rPr>
          <w:rFonts w:ascii="Arial" w:eastAsiaTheme="minorHAnsi" w:hAnsi="Arial" w:cs="Arial"/>
          <w:b/>
          <w:bCs/>
          <w:color w:val="000000"/>
          <w:sz w:val="20"/>
          <w:szCs w:val="20"/>
          <w:lang w:eastAsia="en-US"/>
        </w:rPr>
        <w:tab/>
        <w:t>Warunki gwarancji i serwisu</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 </w:t>
      </w:r>
      <w:r w:rsidRPr="00426576">
        <w:rPr>
          <w:rFonts w:ascii="Arial" w:eastAsiaTheme="minorHAnsi" w:hAnsi="Arial" w:cs="Arial"/>
          <w:color w:val="000000"/>
          <w:sz w:val="20"/>
          <w:szCs w:val="20"/>
          <w:lang w:eastAsia="en-US"/>
        </w:rPr>
        <w:t xml:space="preserve">Warunki gwarancji i serwisu określone w umowie na pozyskanie sprzętu i OPZ mają wyższy priorytet i pierwszeństwo przed standardowymi warunkami gwarancji i serwisu producentów, importerów i dostawców sprzętu informatyki dla resortu obrony narodowej.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 </w:t>
      </w:r>
      <w:r w:rsidRPr="00426576">
        <w:rPr>
          <w:rFonts w:ascii="Arial" w:eastAsiaTheme="minorHAnsi" w:hAnsi="Arial" w:cs="Arial"/>
          <w:color w:val="000000"/>
          <w:sz w:val="20"/>
          <w:szCs w:val="20"/>
          <w:lang w:eastAsia="en-US"/>
        </w:rPr>
        <w:t xml:space="preserve">Wykonawca odpowiada za wady fizyczne i prawne, ujawnione w dostarczonym Sprzęcie, ponosi z tego tytułu wszelkie zobowiązania. Jest odpowiedzialny względem Zamawiającego, jeżeli dostarczony sprzęt: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 </w:t>
      </w:r>
      <w:r w:rsidRPr="00426576">
        <w:rPr>
          <w:rFonts w:ascii="Arial" w:eastAsiaTheme="minorHAnsi" w:hAnsi="Arial" w:cs="Arial"/>
          <w:color w:val="000000"/>
          <w:sz w:val="20"/>
          <w:szCs w:val="20"/>
          <w:lang w:eastAsia="en-US"/>
        </w:rPr>
        <w:t xml:space="preserve">stanowi własność osoby trzeciej albo jeżeli jest obciążony prawem osoby trzeciej, </w:t>
      </w:r>
    </w:p>
    <w:p w:rsidR="00426576" w:rsidRPr="00426576" w:rsidRDefault="00426576" w:rsidP="00426576">
      <w:pPr>
        <w:autoSpaceDE w:val="0"/>
        <w:autoSpaceDN w:val="0"/>
        <w:adjustRightInd w:val="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 </w:t>
      </w:r>
      <w:r w:rsidRPr="00426576">
        <w:rPr>
          <w:rFonts w:ascii="Arial" w:eastAsiaTheme="minorHAnsi" w:hAnsi="Arial" w:cs="Arial"/>
          <w:color w:val="000000"/>
          <w:sz w:val="20"/>
          <w:szCs w:val="20"/>
          <w:lang w:eastAsia="en-US"/>
        </w:rPr>
        <w:t xml:space="preserve">ma wadę zmniejszającą jego wartość lub użyteczność wynikającą z jego przeznaczenia, nie posiadają właściwości wymaganych przez Zamawiającego, albo jeżeli dostarczono je w stanie niekompletnym.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3. </w:t>
      </w:r>
      <w:r w:rsidRPr="00426576">
        <w:rPr>
          <w:rFonts w:ascii="Arial" w:eastAsiaTheme="minorHAnsi" w:hAnsi="Arial" w:cs="Arial"/>
          <w:color w:val="000000"/>
          <w:sz w:val="20"/>
          <w:szCs w:val="20"/>
          <w:lang w:eastAsia="en-US"/>
        </w:rPr>
        <w:t xml:space="preserve">O wadzie fizycznej i prawnej przedmiotu umowy Zamawiający lub JiKO RON użytkująca Sprzęt objęty gwarancją (użytkownik) powiadomi niezwłocznie po ujawnieniu w nim wad, w celu realizacji przysługujących z tego tytułu uprawnień. Formę zawiadomienia stanowi „Protokół reklamacji” wykonany przez Zamawiającego/użytkownika lub jego reprezentanta, przekazany Wykonawcy.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4. </w:t>
      </w:r>
      <w:r w:rsidRPr="00426576">
        <w:rPr>
          <w:rFonts w:ascii="Arial" w:eastAsiaTheme="minorHAnsi" w:hAnsi="Arial" w:cs="Arial"/>
          <w:color w:val="000000"/>
          <w:sz w:val="20"/>
          <w:szCs w:val="20"/>
          <w:lang w:eastAsia="en-US"/>
        </w:rPr>
        <w:t xml:space="preserve">Wykonawca jest zobowiązany do usunięcia wad fizycznych i prawnych sprzętu lub do dostarczenia Sprzętu wolnego od wad, jeżeli wady te zostaną ujawnione w okresie gwarancji.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5. </w:t>
      </w:r>
      <w:r w:rsidRPr="00426576">
        <w:rPr>
          <w:rFonts w:ascii="Arial" w:eastAsiaTheme="minorHAnsi" w:hAnsi="Arial" w:cs="Arial"/>
          <w:color w:val="000000"/>
          <w:sz w:val="20"/>
          <w:szCs w:val="20"/>
          <w:lang w:eastAsia="en-US"/>
        </w:rPr>
        <w:t xml:space="preserve">Jeżeli w wykonaniu swoich obowiązków Wykonawca dostarczył Zamawiającemu/ użytkownikowi zamiast Sprzętu wadliwego, taki sam sprzęt nowy – wolny od wad, termin gwarancji biegnie na nowo od chwili jego dostarczenia. Wymiany Sprzętu Wykonawca dokona bez żadnej dopłaty, nawet gdyby ceny na takie wyroby uległy zmianie.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6. </w:t>
      </w:r>
      <w:r w:rsidRPr="00426576">
        <w:rPr>
          <w:rFonts w:ascii="Arial" w:eastAsiaTheme="minorHAnsi" w:hAnsi="Arial" w:cs="Arial"/>
          <w:color w:val="000000"/>
          <w:sz w:val="20"/>
          <w:szCs w:val="20"/>
          <w:lang w:eastAsia="en-US"/>
        </w:rPr>
        <w:t xml:space="preserve">Wykonawca dostarczy Sprzęt z gwarancją Producenta na okres nie krótszy niż </w:t>
      </w:r>
      <w:r w:rsidRPr="00426576">
        <w:rPr>
          <w:rFonts w:ascii="Arial" w:eastAsiaTheme="minorHAnsi" w:hAnsi="Arial" w:cs="Arial"/>
          <w:b/>
          <w:bCs/>
          <w:color w:val="000000"/>
          <w:sz w:val="20"/>
          <w:szCs w:val="20"/>
          <w:lang w:eastAsia="en-US"/>
        </w:rPr>
        <w:t>36 miesięcy</w:t>
      </w:r>
      <w:r w:rsidRPr="00426576">
        <w:rPr>
          <w:rFonts w:ascii="Arial" w:eastAsiaTheme="minorHAnsi" w:hAnsi="Arial" w:cs="Arial"/>
          <w:color w:val="000000"/>
          <w:sz w:val="20"/>
          <w:szCs w:val="20"/>
          <w:lang w:eastAsia="en-US"/>
        </w:rPr>
        <w:t xml:space="preserve">, licząc od daty podpisania protokołu przyjęcia-przekazania przez przedstawicieli Wykonawcy i przedstawicieli Zamawiającego.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7. </w:t>
      </w:r>
      <w:r w:rsidRPr="00426576">
        <w:rPr>
          <w:rFonts w:ascii="Arial" w:eastAsiaTheme="minorHAnsi" w:hAnsi="Arial" w:cs="Arial"/>
          <w:color w:val="000000"/>
          <w:sz w:val="20"/>
          <w:szCs w:val="20"/>
          <w:lang w:eastAsia="en-US"/>
        </w:rPr>
        <w:t>Realizacja naprawy gwarancyjnej następuje w miejscu eksploatacji lub w siedzibie Wykonawcy, pod warunkiem wymontowania Informatycznych Nośników Danych (IND) i pozostawienia ich u Zamawiającego/Użytkownika</w:t>
      </w:r>
      <w:r w:rsidRPr="00426576">
        <w:rPr>
          <w:rFonts w:ascii="Arial" w:eastAsiaTheme="minorHAnsi" w:hAnsi="Arial" w:cs="Arial"/>
          <w:i/>
          <w:iCs/>
          <w:color w:val="000000"/>
          <w:sz w:val="20"/>
          <w:szCs w:val="20"/>
          <w:lang w:eastAsia="en-US"/>
        </w:rPr>
        <w:t xml:space="preserve">.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8. </w:t>
      </w:r>
      <w:r w:rsidRPr="00426576">
        <w:rPr>
          <w:rFonts w:ascii="Arial" w:eastAsiaTheme="minorHAnsi" w:hAnsi="Arial" w:cs="Arial"/>
          <w:color w:val="000000"/>
          <w:sz w:val="20"/>
          <w:szCs w:val="20"/>
          <w:lang w:eastAsia="en-US"/>
        </w:rPr>
        <w:t xml:space="preserve">Wykonawca gwarantuje, że każdy egzemplarz dostarczonego Sprzętu jest wolny od wad fizycznych, prawnych oraz posiada cechy zgodne z cechami określonymi w jego specyfikacji technicznej.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9. </w:t>
      </w:r>
      <w:r w:rsidRPr="00426576">
        <w:rPr>
          <w:rFonts w:ascii="Arial" w:eastAsiaTheme="minorHAnsi" w:hAnsi="Arial" w:cs="Arial"/>
          <w:color w:val="000000"/>
          <w:sz w:val="20"/>
          <w:szCs w:val="20"/>
          <w:lang w:eastAsia="en-US"/>
        </w:rPr>
        <w:t xml:space="preserve">Gwarancja jest wyłączną gwarancją udzielaną Zamawiającemu/użytkownikowi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10. </w:t>
      </w:r>
      <w:r w:rsidRPr="00426576">
        <w:rPr>
          <w:rFonts w:ascii="Arial" w:eastAsiaTheme="minorHAnsi" w:hAnsi="Arial" w:cs="Arial"/>
          <w:color w:val="000000"/>
          <w:sz w:val="20"/>
          <w:szCs w:val="20"/>
          <w:lang w:eastAsia="en-US"/>
        </w:rPr>
        <w:t xml:space="preserve">Zamawiający/użytkownik jest upoważniony do samodzielnego (prawidłowego) demontażu i montażu informatycznych nośników danych pracujących w sprzęcie informatyki (dyski twarde) bez utraty gwarancji na cały Sprzęt.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11. </w:t>
      </w:r>
      <w:r w:rsidRPr="00426576">
        <w:rPr>
          <w:rFonts w:ascii="Arial" w:eastAsiaTheme="minorHAnsi" w:hAnsi="Arial" w:cs="Arial"/>
          <w:color w:val="000000"/>
          <w:sz w:val="20"/>
          <w:szCs w:val="20"/>
          <w:lang w:eastAsia="en-US"/>
        </w:rPr>
        <w:t xml:space="preserve">Zamawiający/użytkownik jest upoważniony do samodzielnego (prawidłowego) demontażu i montażu kart rozszerzeń w sprzęcie informatyki bez utraty gwarancji na cały sprzęt.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12. </w:t>
      </w:r>
      <w:r w:rsidRPr="00426576">
        <w:rPr>
          <w:rFonts w:ascii="Arial" w:eastAsiaTheme="minorHAnsi" w:hAnsi="Arial" w:cs="Arial"/>
          <w:color w:val="000000"/>
          <w:sz w:val="20"/>
          <w:szCs w:val="20"/>
          <w:lang w:eastAsia="en-US"/>
        </w:rPr>
        <w:t xml:space="preserve">Informatyczne zapisywalne i nieulotne nośniki danych pracujące w sprzęcie informatyki (np. dyski twarde) nie podlegają przekazaniu do naprawy lub zwrotowi, pozostają własnością Zamawiającego/użytkownika. Jeżeli </w:t>
      </w:r>
      <w:r w:rsidRPr="00426576">
        <w:rPr>
          <w:rFonts w:ascii="Arial" w:eastAsiaTheme="minorHAnsi" w:hAnsi="Arial" w:cs="Arial"/>
          <w:color w:val="000000"/>
          <w:sz w:val="20"/>
          <w:szCs w:val="20"/>
          <w:lang w:eastAsia="en-US"/>
        </w:rPr>
        <w:lastRenderedPageBreak/>
        <w:t xml:space="preserve">nośnik jest zintegrowany w sposób trwały z innym elementem, całość nie podlega zwrotowi i pozostaje własnością Zamawiającego/Użytkownika. W takim przypadku Wykonawca zobowiązany jest dostarczyć Zamawiającemu/Użytkownikowi nowy nośnik/cały element, wolny od wad.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13. </w:t>
      </w:r>
      <w:r w:rsidRPr="00426576">
        <w:rPr>
          <w:rFonts w:ascii="Arial" w:eastAsiaTheme="minorHAnsi" w:hAnsi="Arial" w:cs="Arial"/>
          <w:color w:val="000000"/>
          <w:sz w:val="20"/>
          <w:szCs w:val="20"/>
          <w:lang w:eastAsia="en-US"/>
        </w:rPr>
        <w:t xml:space="preserve">Zamawiający/użytkownik może wykorzystać uprawnienia z tytułu gwarancji za wady fizyczne i prawne Sprzętu niezależnie od uprawnień wynikających z rękojmi.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14. </w:t>
      </w:r>
      <w:r w:rsidRPr="00426576">
        <w:rPr>
          <w:rFonts w:ascii="Arial" w:eastAsiaTheme="minorHAnsi" w:hAnsi="Arial" w:cs="Arial"/>
          <w:color w:val="000000"/>
          <w:sz w:val="20"/>
          <w:szCs w:val="20"/>
          <w:lang w:eastAsia="en-US"/>
        </w:rPr>
        <w:t xml:space="preserve">Gwarancja nie wyłącza, nie ogranicza ani nie zawiesza uprawnień Zamawiającego/użytkownika wynikających z przepisów o rękojmi za wady rzeczy sprzedanej.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15. </w:t>
      </w:r>
      <w:r w:rsidRPr="00426576">
        <w:rPr>
          <w:rFonts w:ascii="Arial" w:eastAsiaTheme="minorHAnsi" w:hAnsi="Arial" w:cs="Arial"/>
          <w:color w:val="000000"/>
          <w:sz w:val="20"/>
          <w:szCs w:val="20"/>
          <w:lang w:eastAsia="en-US"/>
        </w:rPr>
        <w:t xml:space="preserve">Utrata roszczeń z tytułu wad fizycznych i prawnych nie następuje mimo upływu terminu gwarancji, jeżeli Wykonawca wadę zataił.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16. </w:t>
      </w:r>
      <w:r w:rsidRPr="00426576">
        <w:rPr>
          <w:rFonts w:ascii="Arial" w:eastAsiaTheme="minorHAnsi" w:hAnsi="Arial" w:cs="Arial"/>
          <w:color w:val="000000"/>
          <w:sz w:val="20"/>
          <w:szCs w:val="20"/>
          <w:lang w:eastAsia="en-US"/>
        </w:rPr>
        <w:t xml:space="preserve">W przypadku stwierdzenia w okresie gwarancji wad fizycznych i prawnych w dostarczonym Sprzęcie: </w:t>
      </w:r>
    </w:p>
    <w:p w:rsidR="00426576" w:rsidRPr="00426576" w:rsidRDefault="00426576" w:rsidP="00426576">
      <w:pPr>
        <w:autoSpaceDE w:val="0"/>
        <w:autoSpaceDN w:val="0"/>
        <w:adjustRightInd w:val="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 </w:t>
      </w:r>
      <w:r w:rsidRPr="00426576">
        <w:rPr>
          <w:rFonts w:ascii="Arial" w:eastAsiaTheme="minorHAnsi" w:hAnsi="Arial" w:cs="Arial"/>
          <w:color w:val="000000"/>
          <w:sz w:val="20"/>
          <w:szCs w:val="20"/>
          <w:lang w:eastAsia="en-US"/>
        </w:rPr>
        <w:t xml:space="preserve">Wykonawca rozpatrzy „Protokół reklamacji” w ciągu 7 dni licząc od daty jego otrzymania, usprawni wadliwe wyroby w terminie 14 dni licząc od daty otrzymania „Protokołu reklamacji”: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a) usunie wady w dostarczonym Sprzęcie w miejscu, w którym zostały one ujawnione lub na własny koszt dostarczy je do swojej siedziby w celu ich usprawnienia, </w:t>
      </w:r>
    </w:p>
    <w:p w:rsidR="00426576" w:rsidRPr="00426576" w:rsidRDefault="00426576" w:rsidP="00426576">
      <w:pPr>
        <w:autoSpaceDE w:val="0"/>
        <w:autoSpaceDN w:val="0"/>
        <w:adjustRightInd w:val="0"/>
        <w:ind w:left="284"/>
        <w:jc w:val="both"/>
        <w:rPr>
          <w:rFonts w:ascii="Arial" w:eastAsiaTheme="minorHAnsi" w:hAnsi="Arial" w:cs="Arial"/>
          <w:color w:val="000000"/>
          <w:sz w:val="20"/>
          <w:szCs w:val="20"/>
          <w:lang w:eastAsia="en-US"/>
        </w:rPr>
      </w:pPr>
      <w:r w:rsidRPr="00426576">
        <w:rPr>
          <w:rFonts w:ascii="Arial" w:eastAsiaTheme="minorHAnsi" w:hAnsi="Arial" w:cs="Arial"/>
          <w:color w:val="000000"/>
          <w:sz w:val="20"/>
          <w:szCs w:val="20"/>
          <w:lang w:eastAsia="en-US"/>
        </w:rPr>
        <w:t xml:space="preserve">b) sprzęt wolny od wad dostarczy na własny koszt do miejsca eksploatacji sprzętu;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 </w:t>
      </w:r>
      <w:r w:rsidRPr="00426576">
        <w:rPr>
          <w:rFonts w:ascii="Arial" w:eastAsiaTheme="minorHAnsi" w:hAnsi="Arial" w:cs="Arial"/>
          <w:color w:val="000000"/>
          <w:sz w:val="20"/>
          <w:szCs w:val="20"/>
          <w:lang w:eastAsia="en-US"/>
        </w:rPr>
        <w:t xml:space="preserve">Termin gwarancji ulega przedłużeniu o czas, w ciągu którego wskutek wad Sprzętu objętego gwarancją uprawniony z gwarancji nie mógł z niego korzystać;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3) </w:t>
      </w:r>
      <w:r w:rsidRPr="00426576">
        <w:rPr>
          <w:rFonts w:ascii="Arial" w:eastAsiaTheme="minorHAnsi" w:hAnsi="Arial" w:cs="Arial"/>
          <w:color w:val="000000"/>
          <w:sz w:val="20"/>
          <w:szCs w:val="20"/>
          <w:lang w:eastAsia="en-US"/>
        </w:rPr>
        <w:t xml:space="preserve">Wykonawca wymieni wadliwy Sprzęt na nowy w terminie 5 dni licząc od upływu terminu usprawnienia wadliwego Sprzętu określonego w ppkt. 1, jeżeli we wskazanym terminie wadliwy Sprzęt nie zostanie usprawniony;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4) </w:t>
      </w:r>
      <w:r w:rsidRPr="00426576">
        <w:rPr>
          <w:rFonts w:ascii="Arial" w:eastAsiaTheme="minorHAnsi" w:hAnsi="Arial" w:cs="Arial"/>
          <w:color w:val="000000"/>
          <w:sz w:val="20"/>
          <w:szCs w:val="20"/>
          <w:lang w:eastAsia="en-US"/>
        </w:rPr>
        <w:t xml:space="preserve">Wykonawca dokona stosownych zapisów w Karcie gwarancyjnej dotyczących zakresu wykonanych napraw oraz zmiany okresu udzielonej gwarancji;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5) </w:t>
      </w:r>
      <w:r w:rsidRPr="00426576">
        <w:rPr>
          <w:rFonts w:ascii="Arial" w:eastAsiaTheme="minorHAnsi" w:hAnsi="Arial" w:cs="Arial"/>
          <w:color w:val="000000"/>
          <w:sz w:val="20"/>
          <w:szCs w:val="20"/>
          <w:lang w:eastAsia="en-US"/>
        </w:rPr>
        <w:t xml:space="preserve">Wykonawca ponosi odpowiedzialność z tytułu przypadkowej utraty lub uszkodzenia Sprzętu w czasie od przyjęcia go do naprawy do czasu przekazania sprawnego wyrobu użytkownikowi w miejscu ujawnienia wady; </w:t>
      </w:r>
    </w:p>
    <w:p w:rsidR="00426576" w:rsidRPr="00426576" w:rsidRDefault="00426576" w:rsidP="00426576">
      <w:pPr>
        <w:autoSpaceDE w:val="0"/>
        <w:autoSpaceDN w:val="0"/>
        <w:adjustRightInd w:val="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6) </w:t>
      </w:r>
      <w:r w:rsidRPr="00426576">
        <w:rPr>
          <w:rFonts w:ascii="Arial" w:eastAsiaTheme="minorHAnsi" w:hAnsi="Arial" w:cs="Arial"/>
          <w:color w:val="000000"/>
          <w:sz w:val="20"/>
          <w:szCs w:val="20"/>
          <w:lang w:eastAsia="en-US"/>
        </w:rPr>
        <w:t xml:space="preserve">Wykonawca zwróci Zamawiającemu równowartość wadliwych egzemplarzy Sprzętu powiększoną o karę umowną w wysokości 10% ich oferowanej ceny, jeżeli nie wykona zobowiązań wynikających z ppkt. 1 i 3.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17. </w:t>
      </w:r>
      <w:r w:rsidRPr="00426576">
        <w:rPr>
          <w:rFonts w:ascii="Arial" w:eastAsiaTheme="minorHAnsi" w:hAnsi="Arial" w:cs="Arial"/>
          <w:color w:val="000000"/>
          <w:sz w:val="20"/>
          <w:szCs w:val="20"/>
          <w:lang w:eastAsia="en-US"/>
        </w:rPr>
        <w:t xml:space="preserve">Wykonawca powiadomi Zamawiającego o nieprawidłowościach w użytkowaniu dostarczonego Sprzętu oraz utrudnieniach w jego usprawnieniu, jeśli takie występują ze strony użytkownika.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18. </w:t>
      </w:r>
      <w:r w:rsidRPr="00426576">
        <w:rPr>
          <w:rFonts w:ascii="Arial" w:eastAsiaTheme="minorHAnsi" w:hAnsi="Arial" w:cs="Arial"/>
          <w:color w:val="000000"/>
          <w:sz w:val="20"/>
          <w:szCs w:val="20"/>
          <w:lang w:eastAsia="en-US"/>
        </w:rPr>
        <w:t xml:space="preserve">Wykonawca zobowiązany jest dostarczyć do Zamawiającego listę wszystkich punktów serwisowych wraz z danymi teleadresowymi (adres, nr telefonu, nr faxu, e-mail), w których ma być zgłaszana naprawa w terminie 5 dni od dnia dostarczenia Sprzętu.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19. </w:t>
      </w:r>
      <w:r w:rsidRPr="00426576">
        <w:rPr>
          <w:rFonts w:ascii="Arial" w:eastAsiaTheme="minorHAnsi" w:hAnsi="Arial" w:cs="Arial"/>
          <w:color w:val="000000"/>
          <w:sz w:val="20"/>
          <w:szCs w:val="20"/>
          <w:lang w:eastAsia="en-US"/>
        </w:rPr>
        <w:t xml:space="preserve">Wykonawca, po zakończeniu okresu gwarancyjnego, przedstawi Zamawiającemu pisemną informację o wszelkich wadach, ich przyczynach i sposobie usunięcia w terminie 14 dni od dnia zakończenia okresu gwarancyjnego.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20. </w:t>
      </w:r>
      <w:r w:rsidRPr="00426576">
        <w:rPr>
          <w:rFonts w:ascii="Arial" w:eastAsiaTheme="minorHAnsi" w:hAnsi="Arial" w:cs="Arial"/>
          <w:color w:val="000000"/>
          <w:sz w:val="20"/>
          <w:szCs w:val="20"/>
          <w:lang w:eastAsia="en-US"/>
        </w:rPr>
        <w:t xml:space="preserve">Jeżeli informatyczne nośniki danych są zamontowane na stałe na płytach głównych sprzętu informatycznego stosuje się do nich odpowiednio postanowienia punktów 10 i 12.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21. </w:t>
      </w:r>
      <w:r w:rsidRPr="00426576">
        <w:rPr>
          <w:rFonts w:ascii="Arial" w:eastAsiaTheme="minorHAnsi" w:hAnsi="Arial" w:cs="Arial"/>
          <w:color w:val="000000"/>
          <w:sz w:val="20"/>
          <w:szCs w:val="20"/>
          <w:lang w:eastAsia="en-US"/>
        </w:rPr>
        <w:t xml:space="preserve">W przypadku ujawnienia, w okresie gwarancji, awarii, usterki bądź wady tego samego elementu (podzespołu) w więcej niż 10% ilości dostarczonego Sprzętu w danej transzy (dla dostaw dotyczących powyżej 40 szt.) – Wykonawca zobowiązany jest, na żądanie Zamawiającego, do wymiany wadliwego elementu (podzespołu), we wszystkich egzemplarzach danego typu lub transzy na swój koszt. Wymiana powinna zostać wykonana w terminie do 2 miesięcy od otrzymania żądania. </w:t>
      </w:r>
    </w:p>
    <w:p w:rsidR="00426576" w:rsidRPr="00426576" w:rsidRDefault="00426576" w:rsidP="00426576">
      <w:pPr>
        <w:autoSpaceDE w:val="0"/>
        <w:autoSpaceDN w:val="0"/>
        <w:adjustRightInd w:val="0"/>
        <w:spacing w:after="8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22. </w:t>
      </w:r>
      <w:r w:rsidRPr="00426576">
        <w:rPr>
          <w:rFonts w:ascii="Arial" w:eastAsiaTheme="minorHAnsi" w:hAnsi="Arial" w:cs="Arial"/>
          <w:color w:val="000000"/>
          <w:sz w:val="20"/>
          <w:szCs w:val="20"/>
          <w:lang w:eastAsia="en-US"/>
        </w:rPr>
        <w:t xml:space="preserve">Zamawiający/użytkownik zastrzega sobie prawo do odmowy zdalnej diagnostyki sprzętu poprzez sieć Internet. Wszystkie wymagane czynności diagnostyczne powinny być w takim przypadku realizowane przez Wykonawcę lub serwis producenta w miejscu zamontowania Sprzętu. </w:t>
      </w:r>
    </w:p>
    <w:p w:rsidR="00426576" w:rsidRPr="00426576" w:rsidRDefault="00426576" w:rsidP="00426576">
      <w:pPr>
        <w:autoSpaceDE w:val="0"/>
        <w:autoSpaceDN w:val="0"/>
        <w:adjustRightInd w:val="0"/>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23. </w:t>
      </w:r>
      <w:r w:rsidRPr="00426576">
        <w:rPr>
          <w:rFonts w:ascii="Arial" w:eastAsiaTheme="minorHAnsi" w:hAnsi="Arial" w:cs="Arial"/>
          <w:color w:val="000000"/>
          <w:sz w:val="20"/>
          <w:szCs w:val="20"/>
          <w:lang w:eastAsia="en-US"/>
        </w:rPr>
        <w:t xml:space="preserve">Do każdego urządzenia Wykonawca zobowiązany jest dostarczyć: </w:t>
      </w:r>
    </w:p>
    <w:p w:rsidR="00426576" w:rsidRPr="00426576" w:rsidRDefault="00426576" w:rsidP="00426576">
      <w:pPr>
        <w:autoSpaceDE w:val="0"/>
        <w:autoSpaceDN w:val="0"/>
        <w:adjustRightInd w:val="0"/>
        <w:spacing w:after="8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1) Kartę gwarancyjną </w:t>
      </w:r>
      <w:r w:rsidRPr="00426576">
        <w:rPr>
          <w:rFonts w:ascii="Arial" w:eastAsiaTheme="minorHAnsi" w:hAnsi="Arial" w:cs="Arial"/>
          <w:color w:val="000000"/>
          <w:sz w:val="20"/>
          <w:szCs w:val="20"/>
          <w:lang w:eastAsia="en-US"/>
        </w:rPr>
        <w:t xml:space="preserve">z warunkami gwarancji oraz sposobem zgłaszania reklamacji (zawartymi w przedmiotowych wymaganiach); </w:t>
      </w:r>
    </w:p>
    <w:p w:rsidR="00426576" w:rsidRPr="00426576" w:rsidRDefault="00426576" w:rsidP="00426576">
      <w:pPr>
        <w:autoSpaceDE w:val="0"/>
        <w:autoSpaceDN w:val="0"/>
        <w:adjustRightInd w:val="0"/>
        <w:ind w:left="284"/>
        <w:jc w:val="both"/>
        <w:rPr>
          <w:rFonts w:ascii="Arial" w:eastAsiaTheme="minorHAnsi" w:hAnsi="Arial" w:cs="Arial"/>
          <w:color w:val="000000"/>
          <w:sz w:val="20"/>
          <w:szCs w:val="20"/>
          <w:lang w:eastAsia="en-US"/>
        </w:rPr>
      </w:pPr>
      <w:r w:rsidRPr="00426576">
        <w:rPr>
          <w:rFonts w:ascii="Arial" w:eastAsiaTheme="minorHAnsi" w:hAnsi="Arial" w:cs="Arial"/>
          <w:b/>
          <w:bCs/>
          <w:color w:val="000000"/>
          <w:sz w:val="20"/>
          <w:szCs w:val="20"/>
          <w:lang w:eastAsia="en-US"/>
        </w:rPr>
        <w:t xml:space="preserve">2) Kartę katalogową </w:t>
      </w:r>
      <w:r w:rsidRPr="00426576">
        <w:rPr>
          <w:rFonts w:ascii="Arial" w:eastAsiaTheme="minorHAnsi" w:hAnsi="Arial" w:cs="Arial"/>
          <w:color w:val="000000"/>
          <w:sz w:val="20"/>
          <w:szCs w:val="20"/>
          <w:lang w:eastAsia="en-US"/>
        </w:rPr>
        <w:t xml:space="preserve">w języku polskim, dla urządzenia, w wersji papierowej/elektronicznej. </w:t>
      </w:r>
    </w:p>
    <w:p w:rsidR="00426576" w:rsidRPr="00426576" w:rsidRDefault="00426576" w:rsidP="00426576">
      <w:pPr>
        <w:autoSpaceDE w:val="0"/>
        <w:autoSpaceDN w:val="0"/>
        <w:adjustRightInd w:val="0"/>
        <w:ind w:left="284"/>
        <w:jc w:val="both"/>
        <w:rPr>
          <w:rFonts w:ascii="Arial" w:hAnsi="Arial" w:cs="Arial"/>
          <w:sz w:val="20"/>
          <w:szCs w:val="20"/>
        </w:rPr>
      </w:pPr>
    </w:p>
    <w:p w:rsidR="00EA4D69" w:rsidRPr="00426576" w:rsidRDefault="00426576">
      <w:pPr>
        <w:rPr>
          <w:rFonts w:ascii="Arial" w:hAnsi="Arial" w:cs="Arial"/>
          <w:sz w:val="20"/>
          <w:szCs w:val="20"/>
        </w:rPr>
      </w:pPr>
    </w:p>
    <w:sectPr w:rsidR="00EA4D69" w:rsidRPr="00426576" w:rsidSect="00426576">
      <w:headerReference w:type="default" r:id="rId5"/>
      <w:footerReference w:type="default" r:id="rId6"/>
      <w:pgSz w:w="11906" w:h="16838"/>
      <w:pgMar w:top="1021"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79" w:rsidRPr="007D342F" w:rsidRDefault="00426576"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Pr>
        <w:rFonts w:ascii="Arial" w:hAnsi="Arial" w:cs="Arial"/>
        <w:noProof/>
      </w:rPr>
      <w:t>8</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Pr>
        <w:rStyle w:val="Numerstrony"/>
        <w:rFonts w:ascii="Arial" w:hAnsi="Arial" w:cs="Arial"/>
        <w:noProof/>
        <w:color w:val="000000"/>
      </w:rPr>
      <w:t>8</w:t>
    </w:r>
    <w:r w:rsidRPr="00BB5A9F">
      <w:rPr>
        <w:rStyle w:val="Numerstrony"/>
        <w:rFonts w:ascii="Arial" w:hAnsi="Arial" w:cs="Arial"/>
        <w:color w:val="00000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379" w:rsidRPr="0008563D" w:rsidRDefault="00426576">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C03"/>
    <w:multiLevelType w:val="hybridMultilevel"/>
    <w:tmpl w:val="F3F24E1E"/>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4579BE"/>
    <w:multiLevelType w:val="hybridMultilevel"/>
    <w:tmpl w:val="75722CE6"/>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CE165F"/>
    <w:multiLevelType w:val="hybridMultilevel"/>
    <w:tmpl w:val="AFCA8A6A"/>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66ADF"/>
    <w:multiLevelType w:val="hybridMultilevel"/>
    <w:tmpl w:val="68B42980"/>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965A14"/>
    <w:multiLevelType w:val="hybridMultilevel"/>
    <w:tmpl w:val="D5D6FF92"/>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830FB"/>
    <w:multiLevelType w:val="multilevel"/>
    <w:tmpl w:val="9A5C49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76"/>
    <w:rsid w:val="00053350"/>
    <w:rsid w:val="000E6822"/>
    <w:rsid w:val="00426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1975"/>
  <w15:chartTrackingRefBased/>
  <w15:docId w15:val="{62DBCD48-A3C9-40E2-BCEE-F668AE35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57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426576"/>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6576"/>
    <w:rPr>
      <w:rFonts w:ascii="Times New Roman" w:eastAsia="Times New Roman" w:hAnsi="Times New Roman" w:cs="Times New Roman"/>
      <w:b/>
      <w:bCs/>
      <w:kern w:val="36"/>
      <w:sz w:val="48"/>
      <w:szCs w:val="48"/>
      <w:lang w:eastAsia="pl-PL"/>
    </w:rPr>
  </w:style>
  <w:style w:type="paragraph" w:styleId="Stopka">
    <w:name w:val="footer"/>
    <w:basedOn w:val="Normalny"/>
    <w:link w:val="StopkaZnak"/>
    <w:uiPriority w:val="99"/>
    <w:rsid w:val="00426576"/>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26576"/>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426576"/>
    <w:pPr>
      <w:tabs>
        <w:tab w:val="center" w:pos="4536"/>
        <w:tab w:val="right" w:pos="9072"/>
      </w:tabs>
    </w:pPr>
  </w:style>
  <w:style w:type="character" w:customStyle="1" w:styleId="NagwekZnak">
    <w:name w:val="Nagłówek Znak"/>
    <w:basedOn w:val="Domylnaczcionkaakapitu"/>
    <w:link w:val="Nagwek"/>
    <w:uiPriority w:val="99"/>
    <w:rsid w:val="00426576"/>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
    <w:basedOn w:val="Normalny"/>
    <w:link w:val="AkapitzlistZnak"/>
    <w:uiPriority w:val="34"/>
    <w:qFormat/>
    <w:rsid w:val="00426576"/>
    <w:pPr>
      <w:ind w:left="720"/>
      <w:contextualSpacing/>
    </w:pPr>
  </w:style>
  <w:style w:type="character" w:styleId="Numerstrony">
    <w:name w:val="page number"/>
    <w:basedOn w:val="Domylnaczcionkaakapitu"/>
    <w:rsid w:val="00426576"/>
  </w:style>
  <w:style w:type="paragraph" w:styleId="Nagwekspisutreci">
    <w:name w:val="TOC Heading"/>
    <w:basedOn w:val="Nagwek1"/>
    <w:next w:val="Normalny"/>
    <w:uiPriority w:val="39"/>
    <w:unhideWhenUsed/>
    <w:qFormat/>
    <w:rsid w:val="0042657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pistreci1">
    <w:name w:val="toc 1"/>
    <w:basedOn w:val="Normalny"/>
    <w:next w:val="Normalny"/>
    <w:autoRedefine/>
    <w:uiPriority w:val="39"/>
    <w:unhideWhenUsed/>
    <w:rsid w:val="00426576"/>
    <w:pPr>
      <w:spacing w:after="100"/>
    </w:pPr>
  </w:style>
  <w:style w:type="character" w:styleId="Hipercze">
    <w:name w:val="Hyperlink"/>
    <w:basedOn w:val="Domylnaczcionkaakapitu"/>
    <w:uiPriority w:val="99"/>
    <w:unhideWhenUsed/>
    <w:rsid w:val="00426576"/>
    <w:rPr>
      <w:color w:val="0563C1" w:themeColor="hyperlink"/>
      <w:u w:val="single"/>
    </w:rPr>
  </w:style>
  <w:style w:type="paragraph" w:customStyle="1" w:styleId="Default">
    <w:name w:val="Default"/>
    <w:rsid w:val="00426576"/>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
    <w:link w:val="Akapitzlist"/>
    <w:uiPriority w:val="34"/>
    <w:rsid w:val="0042657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4500</Words>
  <Characters>27004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1</cp:revision>
  <dcterms:created xsi:type="dcterms:W3CDTF">2025-04-03T10:27:00Z</dcterms:created>
  <dcterms:modified xsi:type="dcterms:W3CDTF">2025-04-03T10:32:00Z</dcterms:modified>
</cp:coreProperties>
</file>